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附件四</w:t>
      </w:r>
      <w:bookmarkStart w:id="2" w:name="_GoBack"/>
      <w:bookmarkEnd w:id="2"/>
    </w:p>
    <w:p>
      <w:pPr>
        <w:jc w:val="center"/>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输血信息管理系统要求</w:t>
      </w:r>
    </w:p>
    <w:p>
      <w:pPr>
        <w:pStyle w:val="2"/>
        <w:ind w:left="0" w:leftChars="0" w:firstLine="0" w:firstLineChars="0"/>
        <w:rPr>
          <w:rFonts w:hint="default"/>
          <w:lang w:val="en-US" w:eastAsia="zh-CN"/>
        </w:rPr>
      </w:pPr>
      <w:r>
        <w:rPr>
          <w:rFonts w:hint="eastAsia" w:hAnsi="宋体"/>
          <w:color w:val="000000" w:themeColor="text1"/>
          <w:sz w:val="28"/>
          <w:szCs w:val="28"/>
          <w:lang w:val="en-US" w:eastAsia="zh-CN"/>
          <w14:textFill>
            <w14:solidFill>
              <w14:schemeClr w14:val="tx1"/>
            </w14:solidFill>
          </w14:textFill>
        </w:rPr>
        <w:t>一、具体要求：</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 检验项目管理</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支持从检验信息系统（LIS）调取最近一次相关的检验项目结果辅助医生申请或审核用血申请单。</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 库存管理</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支持通过条形码扫描单袋导入或网络数据传输批量录入血液成分信息。 </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库存明细</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通过组合条件查看当前血液库存信息。系统提供库存明细和汇总两种显示方式。</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提供血液跟踪管理，用于监控血液流转的整个过程</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血袋有效期到期预警</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提供血液有效期管理，能够通过声音、提示灯对快过期血液进行提示。对于不同的血液的预警时间可单独设置。</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 报废管理</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提供报废血袋血型成分、报废原因、报废日期、报废人登记</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退血回库、退血回站管理</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提供破损、脂浊、杂质血液退血登记，记录登记时间、登记人</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2.5 血袋回收：支持通过扫描条形码记录血袋回收信息 </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2.6 血袋销毁：记录血袋销毁时间</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 自体血管理</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支持自身储血、血液回收等自体血管理功能，自体血信息包括：血液类型、血袋号、ABO血型、RhD血型、数量、单位、采血日期、失效日期、采血人员</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申请单管理</w:t>
      </w:r>
    </w:p>
    <w:p>
      <w:pPr>
        <w:spacing w:line="276"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支持自动获得接收临床输血申请单，实现审核通过的申请单用血信息唯一标识管理，能够显示备血状态；支持不同血液品种分类审核；支持审阅过的申请单补登记审批表；支持审核记录查看</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可实现</w:t>
      </w:r>
      <w:r>
        <w:rPr>
          <w:rFonts w:hint="eastAsia" w:ascii="宋体" w:hAnsi="宋体"/>
          <w:color w:val="000000" w:themeColor="text1"/>
          <w:szCs w:val="21"/>
          <w:lang w:val="en-US" w:eastAsia="zh-CN"/>
          <w14:textFill>
            <w14:solidFill>
              <w14:schemeClr w14:val="tx1"/>
            </w14:solidFill>
          </w14:textFill>
        </w:rPr>
        <w:t>不同级别手术输血的选取：一级、二级、三级、四级（手术患者可</w:t>
      </w:r>
      <w:r>
        <w:rPr>
          <w:rFonts w:hint="default" w:ascii="Arial" w:hAnsi="Arial" w:cs="Arial"/>
          <w:color w:val="000000" w:themeColor="text1"/>
          <w:szCs w:val="21"/>
          <w:lang w:val="en-US"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注明）。</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 配血管理</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病人信息标本打印</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审核通过后自动打印包含患者和血液信息的条形码标签，交叉配血的核对</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不同血型配血系统提示</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对于与申请血型不同血型或不同血液品种信息录入系统之后，进行弹窗提示，并要求输血操作者工号、理由记录信息。</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分类发血</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提供不同血液品种、不同申请类型分界面发血，减少申请单堆积情况，方便输血科日常发血操作</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5.4</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复检结果录入</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支持血库复检血型，不规则抗体筛查等复检结果录入</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5.5</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配血方式结果录入</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支持配血方法、配血结果信息录入</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5.6</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配血报告单</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报告完成之后打印配血报告单，包含病人信息，血型，配发血液信息，用于护士站的核对、医生用血的归档</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 发血管理</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 出库核对</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登记血液出库时间，再次核对配血是否正确，打印包含患者及血袋信息标签，用于临床核对血液</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6.2 领血：登记领血时间、领血人，监控每袋血的流程，责任到人</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 发血查询</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支持输血科对血袋、输血者等信息进行发血查询，便于快速查看病人用血的相关信息</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6.4 贮血登记</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用于因病人突发情况，导致无法输血或继续输血，输血科登记病区送回血液的登记，对于保存时间进行监控，对于超过保存时间的血袋进行贮血到期提醒</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6.5</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反应记录：支持血库查看输血反应，并可以填写血库意见</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6.6</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输血记录：支持血库查看申请单输血轨迹</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7 费用管理</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提供血液费、配血费、储血费的计费和退费功能。</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8 统计查询</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科室用血统计、医生用血统计、输血类型统计</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用血分析：提供各科室，各品种图标或数据的统计</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血型统计</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反应统计：各科室反应类型统计，各血制品反应次数统计</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库存结余</w:t>
      </w: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 用血评价查询</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支持输血科查看各科室反应人数及具体反应情况及处置措施</w:t>
      </w:r>
      <w:r>
        <w:rPr>
          <w:rFonts w:hint="eastAsia" w:ascii="宋体" w:hAnsi="宋体"/>
          <w:color w:val="000000" w:themeColor="text1"/>
          <w:szCs w:val="21"/>
          <w14:textFill>
            <w14:solidFill>
              <w14:schemeClr w14:val="tx1"/>
            </w14:solidFill>
          </w14:textFill>
        </w:rPr>
        <w:tab/>
      </w: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 医生工作站</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10.1 输血权限</w:t>
      </w:r>
    </w:p>
    <w:p>
      <w:pPr>
        <w:spacing w:line="276"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支持根据用户管理权限，自动判断医师申请用血权限，可实现医师输血申请分级管理。</w:t>
      </w:r>
      <w:r>
        <w:rPr>
          <w:rFonts w:hint="eastAsia" w:ascii="宋体" w:hAnsi="宋体"/>
          <w:color w:val="000000" w:themeColor="text1"/>
          <w:szCs w:val="21"/>
          <w14:textFill>
            <w14:solidFill>
              <w14:schemeClr w14:val="tx1"/>
            </w14:solidFill>
          </w14:textFill>
        </w:rPr>
        <w:t>可实现</w:t>
      </w:r>
      <w:r>
        <w:rPr>
          <w:rFonts w:hint="eastAsia" w:ascii="宋体" w:hAnsi="宋体"/>
          <w:color w:val="000000" w:themeColor="text1"/>
          <w:szCs w:val="21"/>
          <w:lang w:val="en-US" w:eastAsia="zh-CN"/>
          <w14:textFill>
            <w14:solidFill>
              <w14:schemeClr w14:val="tx1"/>
            </w14:solidFill>
          </w14:textFill>
        </w:rPr>
        <w:t>不同级别手术输血的选取：一级、二级、三级、四级（手术患者可</w:t>
      </w:r>
      <w:r>
        <w:rPr>
          <w:rFonts w:hint="default" w:ascii="Arial" w:hAnsi="Arial" w:cs="Arial"/>
          <w:color w:val="000000" w:themeColor="text1"/>
          <w:szCs w:val="21"/>
          <w:lang w:val="en-US"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注明）。</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10.2 输血前检查</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根据输血前检查的项目从LIS中调取最近一次报告结果，辅助医生申请用血。</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10.3 输血前评估</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根据适应症相关设置自动判断输血申请是否符合相关规则。不符合规则用血申请申请用血时将进行相应的弹窗提示。</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10.4 大量用血审批</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系统根据申请单用血数量自动判断是否符合大量用血，对于符合条件的申请单进行逐级审批。</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10.5 紧急用血申请</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对于进行用血申请单采用绿色通道，取消一切审核。</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10.6 特殊用血申请</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对于特殊病种需要输血，开放配合输注选项，用于非同种血型用血申请。</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10.7 申请状态</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支持输血申请状态在各种终端实时显示 。</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10.8</w:t>
      </w:r>
      <w:r>
        <w:rPr>
          <w:rFonts w:ascii="宋体" w:hAnsi="宋体"/>
          <w:color w:val="000000" w:themeColor="text1"/>
          <w:szCs w:val="21"/>
          <w14:textFill>
            <w14:solidFill>
              <w14:schemeClr w14:val="tx1"/>
            </w14:solidFill>
          </w14:textFill>
        </w:rPr>
        <w:t xml:space="preserve"> </w:t>
      </w:r>
      <w:bookmarkStart w:id="0" w:name="_Hlk23774532"/>
      <w:r>
        <w:rPr>
          <w:rFonts w:hint="eastAsia" w:ascii="宋体" w:hAnsi="宋体"/>
          <w:color w:val="000000" w:themeColor="text1"/>
          <w:szCs w:val="21"/>
          <w14:textFill>
            <w14:solidFill>
              <w14:schemeClr w14:val="tx1"/>
            </w14:solidFill>
          </w14:textFill>
        </w:rPr>
        <w:t>支持医生对有输血反应病人进行输血反应、调查结果、处理方式信息录入</w:t>
      </w:r>
    </w:p>
    <w:bookmarkEnd w:id="0"/>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10.9</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支持医生结合检验结果对输血效果进行评价</w:t>
      </w:r>
    </w:p>
    <w:p>
      <w:pPr>
        <w:spacing w:line="276" w:lineRule="auto"/>
        <w:rPr>
          <w:rFonts w:ascii="宋体" w:hAnsi="宋体"/>
          <w:color w:val="000000" w:themeColor="text1"/>
          <w:szCs w:val="21"/>
          <w14:textFill>
            <w14:solidFill>
              <w14:schemeClr w14:val="tx1"/>
            </w14:solidFill>
          </w14:textFill>
        </w:rPr>
      </w:pPr>
      <w:bookmarkStart w:id="1" w:name="_Hlk23774783"/>
      <w:r>
        <w:rPr>
          <w:rFonts w:hint="eastAsia" w:ascii="宋体" w:hAnsi="宋体"/>
          <w:color w:val="000000" w:themeColor="text1"/>
          <w:szCs w:val="21"/>
          <w14:textFill>
            <w14:solidFill>
              <w14:schemeClr w14:val="tx1"/>
            </w14:solidFill>
          </w14:textFill>
        </w:rPr>
        <w:t>10.10</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输血申请单打印、大剂量用血申请表打印、输血反应记录单打印、输血评估记录表打印</w:t>
      </w:r>
    </w:p>
    <w:bookmarkEnd w:id="1"/>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color w:val="000000" w:themeColor="text1"/>
          <w:szCs w:val="21"/>
          <w14:textFill>
            <w14:solidFill>
              <w14:schemeClr w14:val="tx1"/>
            </w14:solidFill>
          </w14:textFill>
        </w:rPr>
      </w:pPr>
    </w:p>
    <w:p>
      <w:pPr>
        <w:spacing w:line="276"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11 护士工作站</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输血医嘱确认</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支持护士工作站输血医嘱确认</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输血科提血凭证打印</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 病区确认核收血液</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记录收血者及收血时间，核对所收血液是否与输血科发放血液是否一致</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11.4血液转送：实现血袋手术室及病区之间的转送</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11.5 输血记录及不良反应登记</w:t>
      </w:r>
    </w:p>
    <w:p>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提供输血反应记录及不良反应记录登记，并反馈医生工作站及血库</w:t>
      </w:r>
    </w:p>
    <w:p>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11.6 血液回收登记</w:t>
      </w:r>
    </w:p>
    <w:p>
      <w:pPr>
        <w:spacing w:line="276"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提供输血完成后，空置血袋送回输血科信息登记</w:t>
      </w:r>
    </w:p>
    <w:p>
      <w:pPr>
        <w:spacing w:line="276" w:lineRule="auto"/>
        <w:ind w:firstLine="420" w:firstLineChars="200"/>
        <w:rPr>
          <w:rFonts w:hint="eastAsia" w:ascii="宋体" w:hAnsi="宋体"/>
          <w:color w:val="000000" w:themeColor="text1"/>
          <w:szCs w:val="21"/>
          <w14:textFill>
            <w14:solidFill>
              <w14:schemeClr w14:val="tx1"/>
            </w14:solidFill>
          </w14:textFill>
        </w:rPr>
      </w:pPr>
    </w:p>
    <w:p>
      <w:pPr>
        <w:spacing w:line="276" w:lineRule="auto"/>
        <w:ind w:firstLine="420" w:firstLineChars="200"/>
        <w:rPr>
          <w:rFonts w:hint="eastAsia" w:ascii="宋体" w:hAnsi="宋体"/>
          <w:color w:val="000000" w:themeColor="text1"/>
          <w:szCs w:val="21"/>
          <w14:textFill>
            <w14:solidFill>
              <w14:schemeClr w14:val="tx1"/>
            </w14:solidFill>
          </w14:textFill>
        </w:rPr>
      </w:pPr>
    </w:p>
    <w:p>
      <w:pPr>
        <w:spacing w:line="276" w:lineRule="auto"/>
        <w:ind w:firstLine="420" w:firstLineChars="200"/>
        <w:rPr>
          <w:rFonts w:hint="eastAsia" w:ascii="宋体" w:hAnsi="宋体"/>
          <w:color w:val="000000" w:themeColor="text1"/>
          <w:szCs w:val="21"/>
          <w14:textFill>
            <w14:solidFill>
              <w14:schemeClr w14:val="tx1"/>
            </w14:solidFill>
          </w14:textFill>
        </w:rPr>
      </w:pPr>
    </w:p>
    <w:p>
      <w:pPr>
        <w:spacing w:line="276" w:lineRule="auto"/>
        <w:ind w:firstLine="420" w:firstLineChars="200"/>
        <w:rPr>
          <w:rFonts w:hint="eastAsia" w:ascii="宋体" w:hAnsi="宋体"/>
          <w:color w:val="000000" w:themeColor="text1"/>
          <w:szCs w:val="21"/>
          <w14:textFill>
            <w14:solidFill>
              <w14:schemeClr w14:val="tx1"/>
            </w14:solidFill>
          </w14:textFill>
        </w:rPr>
      </w:pPr>
    </w:p>
    <w:p>
      <w:pPr>
        <w:spacing w:line="276" w:lineRule="auto"/>
        <w:rPr>
          <w:rFonts w:hint="eastAsia" w:ascii="宋体" w:hAnsi="宋体"/>
          <w:color w:val="000000" w:themeColor="text1"/>
          <w:szCs w:val="21"/>
          <w14:textFill>
            <w14:solidFill>
              <w14:schemeClr w14:val="tx1"/>
            </w14:solidFill>
          </w14:textFill>
        </w:rPr>
      </w:pPr>
    </w:p>
    <w:p>
      <w:pPr>
        <w:spacing w:line="276" w:lineRule="auto"/>
        <w:rPr>
          <w:rFonts w:hint="eastAsia" w:ascii="宋体" w:hAnsi="宋体"/>
          <w:color w:val="000000" w:themeColor="text1"/>
          <w:szCs w:val="21"/>
          <w14:textFill>
            <w14:solidFill>
              <w14:schemeClr w14:val="tx1"/>
            </w14:solidFill>
          </w14:textFill>
        </w:rPr>
      </w:pPr>
    </w:p>
    <w:p>
      <w:pPr>
        <w:spacing w:line="276" w:lineRule="auto"/>
        <w:rPr>
          <w:rFonts w:hint="eastAsia" w:ascii="宋体" w:hAnsi="宋体"/>
          <w:color w:val="000000" w:themeColor="text1"/>
          <w:szCs w:val="21"/>
          <w14:textFill>
            <w14:solidFill>
              <w14:schemeClr w14:val="tx1"/>
            </w14:solidFill>
          </w14:textFill>
        </w:rPr>
      </w:pPr>
    </w:p>
    <w:p>
      <w:pPr>
        <w:spacing w:line="276" w:lineRule="auto"/>
        <w:rPr>
          <w:rFonts w:hint="eastAsia" w:ascii="宋体" w:hAnsi="宋体"/>
          <w:color w:val="000000" w:themeColor="text1"/>
          <w:szCs w:val="21"/>
          <w14:textFill>
            <w14:solidFill>
              <w14:schemeClr w14:val="tx1"/>
            </w14:solidFill>
          </w14:textFill>
        </w:rPr>
      </w:pPr>
    </w:p>
    <w:p>
      <w:pPr>
        <w:spacing w:line="276" w:lineRule="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软件要求：</w:t>
      </w:r>
    </w:p>
    <w:p>
      <w:pPr>
        <w:numPr>
          <w:ilvl w:val="0"/>
          <w:numId w:val="1"/>
        </w:numPr>
        <w:spacing w:line="276" w:lineRule="auto"/>
        <w:rPr>
          <w:rFonts w:hint="eastAsia"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和创业软件对接，做相应接口，接口费包含在总费用之中</w:t>
      </w:r>
    </w:p>
    <w:p>
      <w:pPr>
        <w:numPr>
          <w:ilvl w:val="0"/>
          <w:numId w:val="1"/>
        </w:numPr>
        <w:spacing w:line="276" w:lineRule="auto"/>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终身免费软件升级</w:t>
      </w:r>
    </w:p>
    <w:p>
      <w:pPr>
        <w:numPr>
          <w:ilvl w:val="0"/>
          <w:numId w:val="1"/>
        </w:numPr>
        <w:spacing w:line="276" w:lineRule="auto"/>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维保年限：不低于3年</w:t>
      </w:r>
    </w:p>
    <w:p>
      <w:pPr>
        <w:numPr>
          <w:ilvl w:val="0"/>
          <w:numId w:val="1"/>
        </w:numPr>
        <w:spacing w:line="276" w:lineRule="auto"/>
        <w:rPr>
          <w:rFonts w:hint="default" w:ascii="宋体" w:hAnsi="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列出过保后维护费用明细单</w:t>
      </w:r>
    </w:p>
    <w:p>
      <w:pPr>
        <w:pStyle w:val="2"/>
        <w:numPr>
          <w:ilvl w:val="0"/>
          <w:numId w:val="2"/>
        </w:numPr>
        <w:ind w:left="0" w:leftChars="0" w:firstLine="0" w:firstLineChars="0"/>
        <w:rPr>
          <w:rFonts w:hint="eastAsia"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供应商应形成具体方案，对各项要求做出实质性回应。</w:t>
      </w:r>
    </w:p>
    <w:p>
      <w:pPr>
        <w:pStyle w:val="2"/>
        <w:numPr>
          <w:ilvl w:val="0"/>
          <w:numId w:val="2"/>
        </w:numPr>
        <w:ind w:left="0" w:leftChars="0" w:firstLine="0" w:firstLineChars="0"/>
        <w:rPr>
          <w:rFonts w:hint="default" w:hAnsi="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详细填写附件一。</w:t>
      </w:r>
    </w:p>
    <w:p>
      <w:pPr>
        <w:pStyle w:val="9"/>
        <w:widowControl/>
        <w:numPr>
          <w:numId w:val="0"/>
        </w:numPr>
        <w:spacing w:before="312" w:after="312" w:line="360" w:lineRule="auto"/>
        <w:jc w:val="left"/>
        <w:rPr>
          <w:rFonts w:hint="eastAsia" w:ascii="仿宋" w:hAnsi="仿宋" w:eastAsia="仿宋" w:cs="仿宋"/>
          <w:sz w:val="21"/>
          <w:szCs w:val="21"/>
          <w:lang w:val="en-US" w:eastAsia="zh-CN"/>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8C1A54"/>
    <w:multiLevelType w:val="singleLevel"/>
    <w:tmpl w:val="D38C1A54"/>
    <w:lvl w:ilvl="0" w:tentative="0">
      <w:start w:val="1"/>
      <w:numFmt w:val="decimal"/>
      <w:lvlText w:val="%1."/>
      <w:lvlJc w:val="left"/>
      <w:pPr>
        <w:tabs>
          <w:tab w:val="left" w:pos="312"/>
        </w:tabs>
      </w:pPr>
    </w:lvl>
  </w:abstractNum>
  <w:abstractNum w:abstractNumId="1">
    <w:nsid w:val="12538E60"/>
    <w:multiLevelType w:val="singleLevel"/>
    <w:tmpl w:val="12538E6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18"/>
    <w:rsid w:val="001A5699"/>
    <w:rsid w:val="002D07BA"/>
    <w:rsid w:val="00363341"/>
    <w:rsid w:val="003F50CC"/>
    <w:rsid w:val="004E188B"/>
    <w:rsid w:val="004E7423"/>
    <w:rsid w:val="00651E8D"/>
    <w:rsid w:val="00835318"/>
    <w:rsid w:val="009063D7"/>
    <w:rsid w:val="00AA3BB7"/>
    <w:rsid w:val="00AE596E"/>
    <w:rsid w:val="00C27B32"/>
    <w:rsid w:val="00CA0932"/>
    <w:rsid w:val="00CD2E93"/>
    <w:rsid w:val="00D92F74"/>
    <w:rsid w:val="00FC219B"/>
    <w:rsid w:val="01F23DC6"/>
    <w:rsid w:val="04F67304"/>
    <w:rsid w:val="093969AA"/>
    <w:rsid w:val="0D4B7D87"/>
    <w:rsid w:val="0DF67A03"/>
    <w:rsid w:val="1BC40F83"/>
    <w:rsid w:val="1C9B4899"/>
    <w:rsid w:val="1D9921EE"/>
    <w:rsid w:val="20E40B5E"/>
    <w:rsid w:val="23145A2F"/>
    <w:rsid w:val="25DC583F"/>
    <w:rsid w:val="26AB6275"/>
    <w:rsid w:val="2A675835"/>
    <w:rsid w:val="2CCB7772"/>
    <w:rsid w:val="2E865E29"/>
    <w:rsid w:val="35CD0A28"/>
    <w:rsid w:val="37E666B0"/>
    <w:rsid w:val="3B3A7255"/>
    <w:rsid w:val="4D6D6F06"/>
    <w:rsid w:val="4DDA1C08"/>
    <w:rsid w:val="5C265518"/>
    <w:rsid w:val="6B7F05D8"/>
    <w:rsid w:val="6D1769D5"/>
    <w:rsid w:val="71844269"/>
    <w:rsid w:val="74004EF7"/>
    <w:rsid w:val="75667BB3"/>
    <w:rsid w:val="761F5C0F"/>
    <w:rsid w:val="792B1CF5"/>
    <w:rsid w:val="7AF62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spacing w:line="318" w:lineRule="atLeast"/>
      <w:ind w:left="369" w:firstLine="369"/>
    </w:pPr>
    <w:rPr>
      <w:rFonts w:ascii="宋体"/>
    </w:rPr>
  </w:style>
  <w:style w:type="paragraph" w:styleId="3">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列出段落1"/>
    <w:basedOn w:val="1"/>
    <w:qFormat/>
    <w:uiPriority w:val="34"/>
    <w:pPr>
      <w:autoSpaceDE w:val="0"/>
      <w:autoSpaceDN w:val="0"/>
      <w:snapToGrid w:val="0"/>
      <w:spacing w:line="590" w:lineRule="atLeast"/>
      <w:ind w:firstLine="420" w:firstLineChars="200"/>
    </w:pPr>
    <w:rPr>
      <w:rFonts w:ascii="等线" w:hAnsi="等线" w:eastAsia="等线" w:cs="Times New Roman"/>
      <w:snapToGrid/>
      <w:kern w:val="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284</Words>
  <Characters>1619</Characters>
  <Lines>13</Lines>
  <Paragraphs>3</Paragraphs>
  <TotalTime>4</TotalTime>
  <ScaleCrop>false</ScaleCrop>
  <LinksUpToDate>false</LinksUpToDate>
  <CharactersWithSpaces>1900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2019-09-19T01:54:00Z</dcterms:created>
  <dc:creator>menbry chen</dc:creator>
  <cp:lastModifiedBy>宇</cp:lastModifiedBy>
  <cp:lastPrinted>2020-06-10T09:22:01Z</cp:lastPrinted>
  <dcterms:modified xsi:type="dcterms:W3CDTF">2020-06-10T09:23:13Z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