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pacing w:before="0" w:line="24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附件三</w:t>
      </w:r>
      <w:bookmarkStart w:id="0" w:name="_GoBack"/>
      <w:bookmarkEnd w:id="0"/>
    </w:p>
    <w:p>
      <w:pPr>
        <w:pStyle w:val="2"/>
        <w:numPr>
          <w:ilvl w:val="0"/>
          <w:numId w:val="0"/>
        </w:numPr>
        <w:spacing w:before="0" w:line="240" w:lineRule="auto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项目需求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sz w:val="24"/>
        </w:rPr>
      </w:pPr>
      <w:r>
        <w:rPr>
          <w:rFonts w:hint="eastAsia"/>
          <w:b/>
          <w:bCs/>
        </w:rPr>
        <w:t>服务范围：</w:t>
      </w:r>
      <w:r>
        <w:rPr>
          <w:rFonts w:hint="eastAsia"/>
        </w:rPr>
        <w:t>甲方的</w:t>
      </w:r>
      <w:r>
        <w:rPr>
          <w:rFonts w:hint="eastAsia" w:ascii="宋体" w:hAnsi="宋体"/>
          <w:sz w:val="24"/>
        </w:rPr>
        <w:t>GE PACS系统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服务要求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每年至少四次高级工程师到现场巡检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对医院系统的运行情况提供性能优化和数据迁移整体解决方案、应用软件的日常数据检查维护及各系统接口维护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对操作人员使用不当引起的系统故障处理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对应用软件存在的潜在性错误进行修改，以版本升级形式完成</w:t>
      </w:r>
    </w:p>
    <w:p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本地化需求的修改，并及时合并到公共版本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对应用软件运行中出现的其他问题进行远程或现场的支持维护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（7） 电话服务质量跟踪：跟踪服务情况，每季度提交服务跟踪报告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（8） 将院方需求分为：简单、中等难度、复杂、紧急四个级别。简单问题应在3个工作日内修改完成；中等难度问题应在7工作日内修改完成；复杂问题原则上10个工作日内修改完成，有特殊情况应及时反馈与院方，共同讨论问题的修改计划；紧急问题应立刻进行修改，在最短时间内提供升级包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（9） 建立完整规范的维护记录，每月一次汇总，此记录作为维护工作量计算的依据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（10） 系统BUG应立即响应，一周内修改测试完毕，新增需求应24小时内响应，15天内修改测试完毕</w:t>
      </w:r>
    </w:p>
    <w:p>
      <w:pPr>
        <w:pStyle w:val="9"/>
        <w:spacing w:line="440" w:lineRule="exact"/>
        <w:ind w:left="420"/>
        <w:jc w:val="both"/>
        <w:rPr>
          <w:rFonts w:hAnsi="宋体"/>
          <w:color w:val="auto"/>
          <w:kern w:val="2"/>
        </w:rPr>
      </w:pPr>
      <w:r>
        <w:rPr>
          <w:rFonts w:hAnsi="宋体"/>
          <w:color w:val="auto"/>
          <w:kern w:val="2"/>
        </w:rPr>
        <w:t>为了更好地为客户提供服务，将系统问题分为以下不同的严重级别：</w:t>
      </w:r>
    </w:p>
    <w:tbl>
      <w:tblPr>
        <w:tblStyle w:val="4"/>
        <w:tblW w:w="9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  <w:color w:val="auto"/>
                <w:kern w:val="2"/>
              </w:rPr>
              <w:t>紧急</w:t>
            </w:r>
          </w:p>
        </w:tc>
        <w:tc>
          <w:tcPr>
            <w:tcW w:w="8565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</w:rPr>
            </w:pPr>
            <w:r>
              <w:rPr>
                <w:rFonts w:hAnsi="宋体"/>
              </w:rPr>
              <w:t>系统完全瘫痪，导致医院整体流程中断。</w:t>
            </w:r>
          </w:p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</w:rPr>
              <w:t>主要指：服务器系统故障，数据不可访问等。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  <w:color w:val="auto"/>
                <w:kern w:val="2"/>
              </w:rPr>
              <w:t>高</w:t>
            </w:r>
          </w:p>
        </w:tc>
        <w:tc>
          <w:tcPr>
            <w:tcW w:w="8565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</w:rPr>
            </w:pPr>
            <w:r>
              <w:rPr>
                <w:rFonts w:hAnsi="宋体"/>
              </w:rPr>
              <w:t>系统正常运行，不影响医院整体流程，但某些主要功能出现问题。</w:t>
            </w:r>
          </w:p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</w:rPr>
              <w:t>主要指：科室主要流程受到影响，工作站软件出现频繁死机，严重影响科室工作。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  <w:color w:val="auto"/>
                <w:kern w:val="2"/>
              </w:rPr>
              <w:t>中</w:t>
            </w:r>
          </w:p>
        </w:tc>
        <w:tc>
          <w:tcPr>
            <w:tcW w:w="8565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  <w:color w:val="auto"/>
                <w:kern w:val="2"/>
              </w:rPr>
              <w:t>系统正常运行，医院科室流程正常，某个工作站或某些功能出现问题。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  <w:color w:val="auto"/>
                <w:kern w:val="2"/>
              </w:rPr>
              <w:t>低</w:t>
            </w:r>
          </w:p>
        </w:tc>
        <w:tc>
          <w:tcPr>
            <w:tcW w:w="8565" w:type="dxa"/>
          </w:tcPr>
          <w:p>
            <w:pPr>
              <w:pStyle w:val="9"/>
              <w:spacing w:line="440" w:lineRule="exact"/>
              <w:jc w:val="both"/>
              <w:rPr>
                <w:rFonts w:hAnsi="宋体"/>
                <w:color w:val="auto"/>
                <w:kern w:val="2"/>
              </w:rPr>
            </w:pPr>
            <w:r>
              <w:rPr>
                <w:rFonts w:hAnsi="宋体"/>
                <w:color w:val="auto"/>
                <w:kern w:val="2"/>
              </w:rPr>
              <w:t>系统正常运行，医院科室流程正常，某个工作站或某个小功能偶尔工作不正常。</w:t>
            </w:r>
          </w:p>
        </w:tc>
      </w:tr>
    </w:tbl>
    <w:p>
      <w:pPr>
        <w:pStyle w:val="9"/>
        <w:spacing w:line="360" w:lineRule="auto"/>
        <w:jc w:val="both"/>
        <w:rPr>
          <w:rFonts w:hAnsi="宋体"/>
          <w:color w:val="auto"/>
          <w:kern w:val="2"/>
        </w:rPr>
      </w:pPr>
      <w:r>
        <w:rPr>
          <w:rFonts w:hAnsi="宋体"/>
          <w:color w:val="auto"/>
          <w:kern w:val="2"/>
        </w:rPr>
        <w:t>响应时间：</w:t>
      </w:r>
    </w:p>
    <w:p>
      <w:pPr>
        <w:pStyle w:val="9"/>
        <w:spacing w:line="360" w:lineRule="auto"/>
        <w:ind w:firstLine="420"/>
        <w:jc w:val="both"/>
        <w:rPr>
          <w:rFonts w:hAnsi="宋体" w:cs="Arial"/>
        </w:rPr>
      </w:pPr>
      <w:r>
        <w:rPr>
          <w:rFonts w:hAnsi="宋体"/>
          <w:color w:val="auto"/>
          <w:kern w:val="2"/>
        </w:rPr>
        <w:t>根据问题的严重级别，首先通过电话和或网络帮助解决问题，</w:t>
      </w:r>
      <w:r>
        <w:rPr>
          <w:rFonts w:hAnsi="宋体" w:cs="Arial"/>
        </w:rPr>
        <w:t>如果不能远程解决将提供现场服务，不同的响应方式应在以下时限内解决相应级别的问题。</w:t>
      </w:r>
    </w:p>
    <w:tbl>
      <w:tblPr>
        <w:tblStyle w:val="4"/>
        <w:tblW w:w="91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76"/>
        <w:gridCol w:w="1476"/>
        <w:gridCol w:w="180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响应方式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紧急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高</w:t>
            </w:r>
          </w:p>
        </w:tc>
        <w:tc>
          <w:tcPr>
            <w:tcW w:w="1803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中</w:t>
            </w:r>
          </w:p>
        </w:tc>
        <w:tc>
          <w:tcPr>
            <w:tcW w:w="2510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电话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３０分钟内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６０分钟内</w:t>
            </w:r>
          </w:p>
        </w:tc>
        <w:tc>
          <w:tcPr>
            <w:tcW w:w="1803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２小时内</w:t>
            </w:r>
          </w:p>
        </w:tc>
        <w:tc>
          <w:tcPr>
            <w:tcW w:w="2510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２４小时内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网络（如果有）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３０分钟内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６０分钟内</w:t>
            </w:r>
          </w:p>
        </w:tc>
        <w:tc>
          <w:tcPr>
            <w:tcW w:w="1803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２小时内</w:t>
            </w:r>
          </w:p>
        </w:tc>
        <w:tc>
          <w:tcPr>
            <w:tcW w:w="2510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２４小时内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现场（如果必要）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６小时内</w:t>
            </w:r>
          </w:p>
        </w:tc>
        <w:tc>
          <w:tcPr>
            <w:tcW w:w="1476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１２小时内</w:t>
            </w:r>
          </w:p>
        </w:tc>
        <w:tc>
          <w:tcPr>
            <w:tcW w:w="1803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４８小时内</w:t>
            </w:r>
          </w:p>
        </w:tc>
        <w:tc>
          <w:tcPr>
            <w:tcW w:w="2510" w:type="dxa"/>
          </w:tcPr>
          <w:p>
            <w:pPr>
              <w:pStyle w:val="9"/>
              <w:spacing w:line="440" w:lineRule="exact"/>
              <w:jc w:val="center"/>
              <w:rPr>
                <w:rFonts w:hAnsi="宋体"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color w:val="auto"/>
                <w:kern w:val="2"/>
                <w:sz w:val="21"/>
                <w:szCs w:val="21"/>
              </w:rPr>
              <w:t>７２小时内</w:t>
            </w:r>
          </w:p>
        </w:tc>
      </w:tr>
    </w:tbl>
    <w:p>
      <w:pPr>
        <w:spacing w:line="400" w:lineRule="exact"/>
        <w:ind w:firstLine="420"/>
        <w:rPr>
          <w:rFonts w:hint="eastAsia" w:ascii="宋体" w:hAnsi="宋体"/>
          <w:sz w:val="24"/>
        </w:rPr>
      </w:pPr>
    </w:p>
    <w:p>
      <w:pPr>
        <w:numPr>
          <w:ilvl w:val="0"/>
          <w:numId w:val="1"/>
        </w:num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服务期限：1年。</w:t>
      </w:r>
    </w:p>
    <w:p>
      <w:pPr>
        <w:snapToGrid w:val="0"/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四、服务标准：</w:t>
      </w:r>
      <w:r>
        <w:rPr>
          <w:rFonts w:hint="eastAsia" w:ascii="仿宋" w:hAnsi="仿宋" w:eastAsia="仿宋"/>
          <w:sz w:val="28"/>
          <w:szCs w:val="28"/>
        </w:rPr>
        <w:t>提高系统可靠性、稳定性，使系统保持或恢复其良好的工作状态，所有维护保修行为均须流程化、规范化，要求服务内容明确，操作步骤标准，保证设备和系统的安全稳定。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五、人员配备要求：无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b/>
          <w:sz w:val="24"/>
        </w:rPr>
        <w:t>六、考核标准：</w:t>
      </w:r>
      <w:r>
        <w:rPr>
          <w:rFonts w:hint="eastAsia" w:ascii="仿宋" w:hAnsi="仿宋" w:eastAsia="仿宋"/>
          <w:sz w:val="28"/>
          <w:szCs w:val="28"/>
        </w:rPr>
        <w:t>1.乙方若没有依照合同约定内容履行维保职责，需按合同总价的1%向甲方支付违约金或经双方协商后通过延长维保期来抵偿。</w:t>
      </w:r>
    </w:p>
    <w:p>
      <w:pPr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2.乙方接到甲方的故障报修电话，未在规定的时间到达现场或提供电话支持服务；或虽然到达现场或提供电话支持服务但仍然无法排除故障的，导致系统瘫痪每出现一次乙方应支付甲方违约金2,000元。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BA3440"/>
    <w:multiLevelType w:val="singleLevel"/>
    <w:tmpl w:val="C1BA34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780BB9"/>
    <w:multiLevelType w:val="multilevel"/>
    <w:tmpl w:val="47780BB9"/>
    <w:lvl w:ilvl="0" w:tentative="0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1EBC"/>
    <w:rsid w:val="00323B43"/>
    <w:rsid w:val="003D37D8"/>
    <w:rsid w:val="004358AB"/>
    <w:rsid w:val="00461EBC"/>
    <w:rsid w:val="005E6926"/>
    <w:rsid w:val="008B7726"/>
    <w:rsid w:val="422252C1"/>
    <w:rsid w:val="4E351B27"/>
    <w:rsid w:val="575E5A18"/>
    <w:rsid w:val="7A5D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标题 2 Char"/>
    <w:basedOn w:val="5"/>
    <w:link w:val="2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7">
    <w:name w:val="HTML 预设格式 Char"/>
    <w:basedOn w:val="5"/>
    <w:link w:val="3"/>
    <w:uiPriority w:val="0"/>
    <w:rPr>
      <w:rFonts w:ascii="宋体" w:hAnsi="宋体" w:eastAsia="宋体" w:cs="宋体"/>
      <w:sz w:val="24"/>
      <w:szCs w:val="24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Wingdings" w:hAnsi="Wingdings" w:eastAsia="宋体" w:cs="Wingding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329</Words>
  <Characters>1877</Characters>
  <Lines>15</Lines>
  <Paragraphs>4</Paragraphs>
  <TotalTime>2</TotalTime>
  <ScaleCrop>false</ScaleCrop>
  <LinksUpToDate>false</LinksUpToDate>
  <CharactersWithSpaces>2202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2020-07-03T01:41:00Z</dcterms:created>
  <dc:creator>Administrator</dc:creator>
  <cp:lastModifiedBy>宇</cp:lastModifiedBy>
  <dcterms:modified xsi:type="dcterms:W3CDTF">2020-07-06T02:49:16Z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