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1921" w:firstLineChars="600"/>
        <w:jc w:val="left"/>
        <w:textAlignment w:val="center"/>
        <w:rPr>
          <w:rFonts w:hint="default" w:ascii="微软雅黑" w:hAnsi="微软雅黑" w:eastAsia="微软雅黑" w:cs="微软雅黑"/>
          <w:b/>
          <w:bCs/>
          <w:i w:val="0"/>
          <w:iCs w:val="0"/>
          <w:color w:val="000000"/>
          <w:kern w:val="0"/>
          <w:sz w:val="32"/>
          <w:szCs w:val="32"/>
          <w:u w:val="none"/>
          <w:lang w:val="en-US" w:eastAsia="zh-CN" w:bidi="ar"/>
        </w:rPr>
      </w:pPr>
      <w:r>
        <w:rPr>
          <w:rFonts w:hint="eastAsia" w:ascii="微软雅黑" w:hAnsi="微软雅黑" w:eastAsia="微软雅黑" w:cs="微软雅黑"/>
          <w:b/>
          <w:bCs/>
          <w:i w:val="0"/>
          <w:iCs w:val="0"/>
          <w:color w:val="000000"/>
          <w:kern w:val="0"/>
          <w:sz w:val="32"/>
          <w:szCs w:val="32"/>
          <w:u w:val="none"/>
          <w:lang w:val="en-US" w:eastAsia="zh-CN" w:bidi="ar"/>
        </w:rPr>
        <w:t>营养管理系统询价要求</w:t>
      </w:r>
    </w:p>
    <w:tbl>
      <w:tblPr>
        <w:tblStyle w:val="3"/>
        <w:tblW w:w="10921" w:type="dxa"/>
        <w:tblInd w:w="-8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320"/>
        <w:gridCol w:w="90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0921"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ind w:firstLine="960" w:firstLineChars="300"/>
              <w:jc w:val="left"/>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一、营养诊疗系统参数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患者管理</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在院患者</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全院在院患者列表，可查看患者信息，如入院时间、科室、床号、姓名、住院号。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各医生可设置哪些患者作为自己高度关注的患者，方便医生集中查看与管理。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可根据入院时间、科室、姓名、住院号、是否有营养风险来查询特定患者。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可按入院时间或科室、床号进行排序查看。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可设置患者标记，如腹泻、营养状况差、恶液质，方便分类管理。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会诊患者</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读取营养会诊指令，集中化查看会诊指令，可根据指令日期、会诊状态、科室、患者姓名及住院号来查询会诊患者。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可根据营养营养评估、干预自动生成营养会诊意见，并可进行修改调整。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出院患者</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可查询出院患者及查看其历次营养报告。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筛评监控</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可以集中化查看全院患者筛查记录及对应的筛评结果。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b/>
                <w:bCs/>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可按筛查方式及筛评得分范围来查询全院筛评记录，也可按筛评日期、指定科室、姓名或住院号查询。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b/>
                <w:bCs/>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可以按筛评时间或筛评得分进行排序查看。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营养筛评</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NRS2002</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标准NRS2002（2018版）量表，包括疾病营养需要程度评价、营养受损-BMI评价、营养受损-体重变化评价、营养受损-进食量变化评价、年龄对营养风险的影响评价。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MUST</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标准MUST量表，包括BMI评价、体重变化评价、摄入情况评价。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儿童营养风险筛查</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标准儿童营养风险筛查量表，包括疾病风险、饮食情况、体重变化、人体测量。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STAMP</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标准STAMP量表，包括疾病对营养的影响评价、饮食情况评价、体格测量评价。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新生儿营养风险筛查</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标准新生儿营养风险筛查量表，包括低风险2个因素、中等风险7个因素、高风险3个因素。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PG-SGA</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标准PG-SGA量表，包括体重与体重变化评价、进食情况评价、症状评价、活动和身体功能评价、合并疾病评价、应激评价、体格评价。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SGA</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标准SGA量表，包括体重变化评价、进食情况评价、胃肠道症状评价、功能异常评价、疾病和相关营养素需求评价、体格评价。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MNA-SF</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标准MNA-SF量表，包括进食变化评价、体重变化评价、活动能力评价、心理与急性疾病评价、精神心理问题评价、BMI评价、小腿围评价。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MNA</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MNA量表，包括BMI评价、体重变化评价、活动能力评价、牙齿状况评价、神经精神疾病评价、饮食变化评价、慢病评价、服药情况评价、居住特性评价、睡眠评价、户外独立活动评价、文化程度评价、经济状况评价、进食能力评价、进餐餐次评价、蛋白质摄入评价、烹调油摄入评价、蔬菜水果评价、小腿围及腰围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2.10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BCA</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标准BCA量表，包括体重评价、肱三头肌皮褶厚度评价、上臂肌围评价、BMI评价、总淋巴细胞计数评价、肌酐身高指数评价、血白蛋白评价、运铁蛋白评价、前白蛋白评价。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2.11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STRONGkids</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标准STRONGkids量表，包括主观临床评价、高风险疾病评价、营养摄取与丢失评价、体重评价。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2.12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PNYS</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标准PNYS量表，包括摄入评价、疼痛评价、病理评价。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2.13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NUTRIC</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标准重症NRTRIC评分量表，包括年龄评价、APACHE II评价、SOFA评价、伴随疾病评价、入院至ICU时间评价。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2.14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筛查管理</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系统自动将全院患者以不同颜色标记为未筛查患者、有营养风险患者及无营养风险患者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系统自动评分并生成系统标准的报告，并可打印。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完成筛查后可设置下次复筛时间，系统将提示每日安排复筛任务。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2.15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营养评估</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营养摄入评估：当前营养摄入途径、经口营养摄入量、摄入量评估、影响经口摄入因素、主要问题持续时间、饮食习惯、食物过敏及不耐受、药物与饮食相互作用。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体格评估：目前身高、目前体重、近期体重、腰围、臀围、腰臀比、上臂围、上臂肌围、三头肌皮褶厚度、右小腿围、左小腿围、握力。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营养诊断：诊断结论、营养不良类型、营养不良病因、营养不良程度。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营养治疗原则/处理意见可提供模板。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营养治疗的目标供给量自动生成及可个性化调整。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支持多种营养支持途径。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2.16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膳食大类调查</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根据患者既往各标准膳食大类的摄入量，自动计算出营养素摄入量、蛋白质来源、能量来源。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营养治疗</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肠内处方</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肠内MDT协作：可与临床系统对接，读取临床下达的常规食字号肠内医嘱，营养科可开具个性化食字号肠内医嘱。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可维护常用制剂和经典处方，方便快速下达医嘱。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历次肠内医嘱查询，可清晰查看到已作废、已停用和正在生效的肠内医嘱。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营养配餐</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可给患者配1-7日的营养食谱，系统包含中国最新的食物成分表，提供近3000种食物和近2000种菜谱库资源。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经典食谱库含有多种疾病多套不同能量段食谱便于调用。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可生成系统标准的食谱清单，可供打印出来给到患者。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历次配餐记录查询。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营养素分析</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营养素计算：合计食字号肠内、膳食的营养摄入量，达数十种营养素及三大能量来源比的自动计算。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食字号肠内风险预警：从营养素、浓度自动化实时分析，系统发现食字号肠内处方风险后自动预警。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将计算值与推荐量进行对比分析，将有差距的营养素重点标记出来，方便查看。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营养素推荐</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营养素推荐算法系统，可计算出患者个体化的营养素推荐值，推荐范围涵盖宏量及微量营养素。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自动化推荐，满足人群、疾病状态需求下营养素推荐能量，蛋白质、脂肪、碳水化合物三大产能营养素，维生素和矿物质，推荐量人工可修改调整。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监测中心</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筛评监测</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查看患者住院期间做过的所有营养筛评记录，每次的筛评时间，所用的筛评工具，筛评结果，操作人。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实验室监测</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可以与LIS系统对接，由营养科设置关注的实验室指标，然后集中查看患者住院期间这些指标每次的检查数据值及判定结果。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饮食医嘱变更</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可查看住院期间患者历次饮食医嘱变更记录。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食字号肠内监测</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可查看患者住院期间每日使用的食字号肠内制剂及用量。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营养病历</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营养病历</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自动生成系统标准病历，含营养风险筛查记录、营养评估记录、肠内医嘱记录、营养查房记录、出院小结。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可查阅患者历次住院的营养病历。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可按科室、住院号、姓名查询患者的营养病历。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营养病历支持打印。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营养质控</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营养师工作量</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可按日/月统计一段时间各营养师的诊疗工作量数据。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统计数据包括：会诊人次、查房人次、宣教人次、筛查人次、评估人次、膳食调查人次、各途径肠内干预人次、各途径肠内干预病例数、肠内营养用量、临床处方复核人次。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可打印与导出统计报表。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质控报表</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可按日/月统计一段时间营养质控数据。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统计数据包括：入院人次、出院人次、人均住院天数、门诊人次、会诊人次、查房人次、宣教人次、筛查人次、筛查阳性人次、筛查阳性比例、营养评估人次、膳食调查人次、营养配餐人次、各途径肠内干预人次、各途径肠内干预病例数、肠内营养用量、临床处方复核人次、治疗饮食医嘱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可打印与导出统计报表。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营养筛查统计</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可以按科室统计各科室一段时间内的NRS2002全院入院风筛的工作量。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制剂中心</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医嘱执行</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标签打印与收费：根据科室、姓名、住院号、餐次时间、处方类型、制剂名称、打印状态（已打印、未打印）来查询医嘱，并实现批量选择打印肠内营养标签以及医嘱收退费管理。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零退管理：针对可以零退的医院，提供零退管理，可以实现一条医嘱中只退部分制剂。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配制费收退费：针对需要单独收取肠内配制费的医院，提供配制费收退费的单独管理功能。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肠内库存管理</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入库：可填写肠内制剂入库单，并完成批量入库的操作。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出库：可填写肠内制剂出库单，并完成批量出库的操作。支持查询各制剂当前的库存量。支持低库存预警与低库存量预警制剂的集中查看。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单据查询：可查看每笔出入库的单据明细。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入库统计：可统计一段时间内的各制剂的入库总量和对应的每笔入库的明细，并生成系统标准的入库统计报表。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出库统计：可统计一段时间内的各制剂的出库总量和对应的每笔出库的明细，并生成系统标准的出库统计报表。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库存统计单：统计一段时间内每种制剂的原库存量、入库总数、出库总数及截止查询时间当前库存量，并生成系统标准的库存统计报表，为库存盘点工作提供相关的数据支持。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低库存预警：支持针对每种肠内制剂设置最低库存下限，便于系统自动监控各制剂当前库存量，将低于库存下限的肠内制剂及当前库存量显示出来，供科室人员协调通知供应商补货。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临期库存预警：支持针对每种肠内制剂设置临期预警值，便于系统自动监控各制剂临期情况，将进入临期预警的肠内制剂及剩余效期显示出来，供科室人员了解并对临期制剂做出妥善安排。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食字号肠内报表</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根据当日需要执行的肠内医嘱，自动统计并生成系统标准的肠内领料单。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需要配制的医嘱自动生成系统标准的配制清单，方便制剂配制员快速完成配制工作。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需要配送的医嘱自动生成系统标准的配送单，方便配送员高效准确配送制剂。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可统计一段时间内各肠内制剂及材料容器的消耗量，并形成系统标准的统计报表。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可查询全院患者的食字号肠内费用明细单，并形成系统标准的报表，内含某患者或某科室合计费用金额。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系统管理</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食字号肠内制剂管理</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食字号肠内制剂信息维护。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可设置常用食字号肠内制剂。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可维护协定处方的原料成分，从而实现对原料制剂的统计与出库。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食材管理</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可实现增加和停用食材，充分体现了库的开放和可拓展性。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8系统自带近3000多种食物库。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菜谱管理</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可以增加菜谱，或者修改菜谱食材搭配。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8系统自带近2000多种菜谱库。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科室管理</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可维护需要营养管理的科室及科室简称。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餐次管理</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可维护餐次。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药字号肠内制剂管理</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药字号肠内制剂信息维护。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8可设置200种常用药字号肠内制剂。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肠外制剂管理</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肠外制剂信息维护。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8可设置100种常用肠外制剂。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实验室指标</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可设置需要关注的实验室检查项。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供应商维护</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可维护食字号肠内制剂供应商名单。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8.10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库管设置</w:t>
            </w:r>
          </w:p>
        </w:tc>
        <w:tc>
          <w:tcPr>
            <w:tcW w:w="9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可维护食字号肠内制剂的对应供应商、库存警报值及保质期预警值。</w:t>
            </w:r>
          </w:p>
        </w:tc>
      </w:tr>
    </w:tbl>
    <w:p>
      <w:pPr>
        <w:pStyle w:val="2"/>
        <w:jc w:val="left"/>
        <w:rPr>
          <w:rFonts w:hint="eastAsia"/>
          <w:b/>
          <w:bCs/>
          <w:sz w:val="36"/>
          <w:szCs w:val="44"/>
          <w:lang w:eastAsia="zh-CN"/>
        </w:rPr>
      </w:pPr>
    </w:p>
    <w:p>
      <w:pPr>
        <w:pStyle w:val="2"/>
        <w:jc w:val="left"/>
        <w:rPr>
          <w:rFonts w:hint="eastAsia" w:eastAsiaTheme="minorEastAsia"/>
          <w:b/>
          <w:bCs/>
          <w:sz w:val="36"/>
          <w:szCs w:val="44"/>
          <w:lang w:eastAsia="zh-CN"/>
        </w:rPr>
      </w:pPr>
      <w:r>
        <w:rPr>
          <w:rFonts w:hint="eastAsia"/>
          <w:b/>
          <w:bCs/>
          <w:sz w:val="36"/>
          <w:szCs w:val="44"/>
          <w:lang w:eastAsia="zh-CN"/>
        </w:rPr>
        <w:t>二、营养门诊管理系统参数</w:t>
      </w:r>
    </w:p>
    <w:tbl>
      <w:tblPr>
        <w:tblStyle w:val="3"/>
        <w:tblW w:w="11227" w:type="dxa"/>
        <w:tblInd w:w="-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20"/>
        <w:gridCol w:w="9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待诊工作台</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待诊工作台</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可支持与医院系统对接读取营养科挂号患者信息。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可支持手动添加患者，通过手工填写门诊患者信息生成门诊患者。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待诊患者列表，可根据门诊号或姓名快速查到患者。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既往门诊一览</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支持查看待诊患者既往门诊的一览情况，具体内容包括如下。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既往门诊查看，支持诊前快速了解前期门诊情况。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既往评估过的量表分数、测量过的体格指标、实验室指标的数据趋势图。支持自定义该患者哪几个指标作为重点关注而显示到界面中。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体格评估</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体格评估</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身高、体重、近期体重改变、BMI、理想体重、占理想体重百分比、腰围、臀围、腰臀比、上臂围、皮褶厚度、上臂肌围、握力、小腿围。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对体重变化、BMI变化的数据进行趋势监测，自动生成趋势图，便于营养医生观察指标变化情况。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孕期体格评估</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可登记孕妇对应孕周的体重。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系统自动对当前孕周的孕妇实际体重与理论标准体重进行对比分析，给出孕期体重增重过多或过少的结论。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自动生成系统标准的体重增长曲线及患者历次体重增长曲线，孕期体重增长曲线图可打印。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婴幼儿体格评估（WHO版）</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可登记儿童的体格数据，包括身长（高）、体重、出生身长、出生体重、头围、胸围、中上臂臂围、三头肌皮褶厚度、肩胛下皮褶厚度。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系统自动根据WHO官方数据及评估方法，进行Z评分和P评分。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自动生成系统标准的体格发育标准图表及实际体格数据历次变化趋势，图表支持打印。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营养筛评</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NRS2002</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标准NRS2002量表，包括疾病营养需要程度评价、营养受损-BMI评价、营养受损-体重变化评价、营养受损-进食量变化评价、年龄对营养风险的影响评价。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MUST</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标准MUST量表，包括BMI评价、体重变化评价、摄入情况评价。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PG-SGA</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标准PG-SGA量表，包括体重与体重变化评价、进食情况评价、症状评价、活动和身体功能评价、合并疾病评价、应激评价、体格评价。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SGA</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标准SGA量表，包括体重变化评价、进食情况评价、胃肠道症状评价、功能异常评价、疾病和相关营养素需求评价、体格评价。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MNA</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MNA量表，包括BMI评价、体重变化评价、活动能力评价、牙齿状况评价、神经精神疾病评价、饮食变化评价、慢病评价、服药情况评价、居住特性评价、睡眠评价、户外独立活动评价、文化程度评价、经济状况评价、进食能力评价、进餐餐次评价、蛋白质摄入评价、烹调油摄入评价、蔬菜水果评价、小腿围及腰围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MNA-SF</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标准MNA-SF量表，包括进食变化评价、体重变化评价、活动能力评价、心理与急性疾病评价、精神心理问题评价、BMI评价、小腿围评价。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STAMP</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标准STAMP量表，包括疾病对营养的影响评价、饮食情况评价、体格测量评价。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调查工具</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24h膳调</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根据患者一日多餐的菜肴、食物摄入量，自动计算出营养素摄入量、三餐供能比、能量来源、蛋白质来源。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将计算值与推荐量进行对比分析，将有差距的营养素重点标记出来，方便营养（医）师查看。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出具系统标准的膳调报告，可单独打印出来提供给患者。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支持由营养（医）师针对具体患者设置哪些营养素分析结果展示在膳调报告中。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膳食大类调</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根据患者既往各标准膳食大类的摄入量，自动计算出营养素摄入量、蛋白质来源、能量来源。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将计算值与推荐量进行对比分析，将有差距的营养素重点标记出来，方便营养（医）师查看。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出具系统标准的膳调报告，可打印。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运动调查</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根据患者日/周运动项目及运动量，系统自动计算通过运动消耗掉的能量。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运动种类齐全，罗列常见运动项目，包含了走路、跑步、体育运动、核心运动、调节运动、孕期运动。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营养（医）师更全面了解患者的摄入与消耗情况。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营养素推荐</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营养素推荐算法系统，可计算出患者个体化的营养素推荐值，推荐范围涵盖宏量及微量营养素。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营养治疗</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营养配餐</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可给患者配1-7日的营养食谱，系统包含中国最新的食物成分表，提供近3000种食物和近2000种菜谱库资源。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经典食谱库含有多种疾病多套不同能量段食谱便于调用。最后形成食谱清单指导患者饮食。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可打印系统标准的营养配餐表。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交换份配餐</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按能量进行交换份配餐。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可自动推荐各膳食种类份数。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出具系统标准的配餐表，并可打印。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智能配餐</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满足特殊人群如儿童、孕期、慢病、代谢类疾病、消化道疾病营养素要求，自动生成一周带量食谱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满足膳食种类多样性、搭配合理性，确保食谱准确合理。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肠内营养</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营养科可开具成品及需配制的食字号肠内医嘱。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可维护常用制剂和经典处方，方便快速下达医嘱。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可自动计算开立的医嘱对应的收费金额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肠内医嘱单打印。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历次肠内医嘱查询，可清晰查看到历次门诊开具了哪些肠内制剂。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营养分析</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营养素计算：合计食字号肠内、膳食的实际营养摄入量，达数十种营养素及三大能量来源比的自动计算。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食字号肠内风险预警：从营养素、人群禁忌、浓度多维度自动化实时分析，系统发现食字号肠内处方风险后自动预警。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将计算值与推荐量进行对比分析，将有差距的营养素重点标记出来，方便营养（医）师查看。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运动处方</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根据患者信息，系统自动测评运动体质状况。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结合膳食摄入分析，通过运动能量消耗的方式改善患者的营养状况。系统能够提供全面的能量消耗评价，供营养师下达运动处方建议。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运动种类齐全，罗列常见运动项目，包含了走路、跑步、体育运动、核心运动、调节运动、孕期运动。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每种运动项目都给出了标准的运动消耗，在进行运动干预时，方便营养师进行实时查看。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可维护运动处方模板，状况相似的患者可直接调用经典处方。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计算摄入量、基础代谢与运动消耗，系统自动测算1个月后的预计减重公斤数。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智能营养素推荐</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提供智能营养素推荐算法系统，可精准计算出患者个体化的营养推荐值，推荐范围涵盖能量、三大产能营养素、宏量及微量营养素，满足人群、疾病个体化营养素摄入需求，并可人工修改。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营养门诊报告</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营养门诊报告</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自动化生成系统标准的报告，涵盖基本信息、体格评估报告、营养筛评报告、膳食调查报告、运动调查报告、营养配餐表、肠内处方、运动处方，可供营养医师自由勾选需要打印的模块，打印出报告提供给患者。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门诊档案中心</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门诊档案中心</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集中化查询患者的历次门诊病历。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支持按就诊日期范围、姓名、门诊号、性别、是否孕产妇、就诊年龄范围、主要诊断、次要诊断的查询条件来查询符合条件的门诊患者。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系统管理</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制剂管理</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食字号肠内制剂信息维护。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可设置常用食字号肠内制剂。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食材管理</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可实现增加和停用食材，充分体现了库的开放和可拓展性。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菜谱管理</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可以增加菜谱，或者修改菜谱食材搭配。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餐次管理</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可维护餐次。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用户管理</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可开设和管理用户账号。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实验室指标</w:t>
            </w:r>
          </w:p>
        </w:tc>
        <w:tc>
          <w:tcPr>
            <w:tcW w:w="9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可设置需要关注的实验室检查项。</w:t>
            </w:r>
          </w:p>
        </w:tc>
      </w:tr>
    </w:tbl>
    <w:p>
      <w:pPr>
        <w:pStyle w:val="2"/>
        <w:rPr>
          <w:rFonts w:hint="eastAsia"/>
        </w:rPr>
      </w:pPr>
    </w:p>
    <w:p>
      <w:pPr>
        <w:pStyle w:val="2"/>
        <w:rPr>
          <w:rFonts w:hint="eastAsia"/>
          <w:b/>
          <w:bCs/>
          <w:sz w:val="32"/>
          <w:szCs w:val="40"/>
        </w:rPr>
      </w:pPr>
      <w:r>
        <w:rPr>
          <w:rFonts w:hint="eastAsia"/>
          <w:b/>
          <w:bCs/>
          <w:sz w:val="32"/>
          <w:szCs w:val="40"/>
        </w:rPr>
        <w:t>三、智慧营养</w:t>
      </w:r>
    </w:p>
    <w:p>
      <w:pPr>
        <w:pStyle w:val="2"/>
        <w:rPr>
          <w:rFonts w:hint="eastAsia" w:ascii="微软雅黑" w:hAnsi="微软雅黑" w:eastAsia="微软雅黑" w:cs="微软雅黑"/>
        </w:rPr>
      </w:pPr>
      <w:r>
        <w:rPr>
          <w:rFonts w:hint="eastAsia" w:ascii="微软雅黑" w:hAnsi="微软雅黑" w:eastAsia="微软雅黑" w:cs="微软雅黑"/>
          <w:lang w:val="en-US" w:eastAsia="zh-CN"/>
        </w:rPr>
        <w:t>1、</w:t>
      </w:r>
      <w:r>
        <w:rPr>
          <w:rFonts w:hint="eastAsia" w:ascii="微软雅黑" w:hAnsi="微软雅黑" w:eastAsia="微软雅黑" w:cs="微软雅黑"/>
        </w:rPr>
        <w:t>提供面向患者的教育平台，针对患者进行“医学营养指导和家庭营养管理”服务，帮助其养成科学、营养的生活方式并终身受益，同时提升营养科室品牌影响力，让医院促进完善智慧服务分级评估标准体系。平台具体服务如下：</w:t>
      </w:r>
    </w:p>
    <w:p>
      <w:pPr>
        <w:pStyle w:val="2"/>
        <w:rPr>
          <w:rFonts w:hint="eastAsia" w:ascii="微软雅黑" w:hAnsi="微软雅黑" w:eastAsia="微软雅黑" w:cs="微软雅黑"/>
        </w:rPr>
      </w:pPr>
      <w:r>
        <w:rPr>
          <w:rFonts w:hint="eastAsia" w:ascii="微软雅黑" w:hAnsi="微软雅黑" w:eastAsia="微软雅黑" w:cs="微软雅黑"/>
          <w:lang w:val="en-US" w:eastAsia="zh-CN"/>
        </w:rPr>
        <w:t>2、</w:t>
      </w:r>
      <w:r>
        <w:rPr>
          <w:rFonts w:hint="eastAsia" w:ascii="微软雅黑" w:hAnsi="微软雅黑" w:eastAsia="微软雅黑" w:cs="微软雅黑"/>
        </w:rPr>
        <w:t>图文+音视频营养宣教库：40个临床科室200个病种的营养宣教，涵盖营养科最为关注的9大营养重点人群：肾病、术后康复、肿瘤、高血糖、减重、孕妇、产妇、透析、胃肠肝胆胰疾病、心脑血管疾病。以及带管出院患者的家庭营养照护指导，包括特殊饮食搭配、饮食制作、管饲操作、器械使用、管子保养、皮肤护理  |  并发症预防、特殊情况处理措施。助力全院患者的营养教育普及化。宣教库资料来源于200+医院1000+营养医生及临床医生的专业内容提供。</w:t>
      </w:r>
      <w:r>
        <w:rPr>
          <w:rFonts w:hint="eastAsia" w:ascii="微软雅黑" w:hAnsi="微软雅黑" w:eastAsia="微软雅黑" w:cs="微软雅黑"/>
          <w:lang w:val="en-US" w:eastAsia="zh-CN"/>
        </w:rPr>
        <w:t>3、</w:t>
      </w:r>
      <w:r>
        <w:rPr>
          <w:rFonts w:hint="eastAsia" w:ascii="微软雅黑" w:hAnsi="微软雅黑" w:eastAsia="微软雅黑" w:cs="微软雅黑"/>
        </w:rPr>
        <w:t>精准个性化宣教推送：根据患者人群分类及疾病情况，从宣教库中匹配适合的宣教资料，个性化定向推送给患者，支持复合疾病的内容匹配。</w:t>
      </w:r>
    </w:p>
    <w:p>
      <w:pPr>
        <w:pStyle w:val="2"/>
        <w:rPr>
          <w:rFonts w:hint="eastAsia" w:ascii="微软雅黑" w:hAnsi="微软雅黑" w:eastAsia="微软雅黑" w:cs="微软雅黑"/>
        </w:rPr>
      </w:pPr>
      <w:r>
        <w:rPr>
          <w:rFonts w:hint="eastAsia" w:ascii="微软雅黑" w:hAnsi="微软雅黑" w:eastAsia="微软雅黑" w:cs="微软雅黑"/>
          <w:lang w:val="en-US" w:eastAsia="zh-CN"/>
        </w:rPr>
        <w:t>4、</w:t>
      </w:r>
      <w:r>
        <w:rPr>
          <w:rFonts w:hint="eastAsia" w:ascii="微软雅黑" w:hAnsi="微软雅黑" w:eastAsia="微软雅黑" w:cs="微软雅黑"/>
        </w:rPr>
        <w:t>食物宜忌自查：针对患者最常问的“什么能不能吃？”的问题，提供患者自助查询服务，支持14大人群的3000+种食物宜忌自查，人群包括：糖尿病、高血压、高血脂、冠心病、肥胖、肾病、透析、骨质疏松、肿瘤、脂肪肝、孕妇、产妇、痛风。支持针对复合疾病患者查询食物是否宜忌。</w:t>
      </w:r>
    </w:p>
    <w:p>
      <w:pPr>
        <w:pStyle w:val="2"/>
        <w:rPr>
          <w:rFonts w:hint="eastAsia" w:ascii="微软雅黑" w:hAnsi="微软雅黑" w:eastAsia="微软雅黑" w:cs="微软雅黑"/>
        </w:rPr>
      </w:pPr>
      <w:r>
        <w:rPr>
          <w:rFonts w:hint="eastAsia" w:ascii="微软雅黑" w:hAnsi="微软雅黑" w:eastAsia="微软雅黑" w:cs="微软雅黑"/>
          <w:lang w:val="en-US" w:eastAsia="zh-CN"/>
        </w:rPr>
        <w:t>5、</w:t>
      </w:r>
      <w:r>
        <w:rPr>
          <w:rFonts w:hint="eastAsia" w:ascii="微软雅黑" w:hAnsi="微软雅黑" w:eastAsia="微软雅黑" w:cs="微软雅黑"/>
        </w:rPr>
        <w:t>营养科与营养门诊宣传窗口：通过该平台，营养科可以面向全院患者进行科室品牌与营养门诊等的宣传。</w:t>
      </w:r>
    </w:p>
    <w:p>
      <w:pPr>
        <w:pStyle w:val="2"/>
        <w:rPr>
          <w:rFonts w:hint="eastAsia" w:ascii="微软雅黑" w:hAnsi="微软雅黑" w:eastAsia="微软雅黑" w:cs="微软雅黑"/>
        </w:rPr>
      </w:pPr>
    </w:p>
    <w:p>
      <w:pPr>
        <w:pStyle w:val="2"/>
        <w:rPr>
          <w:rFonts w:hint="default" w:eastAsiaTheme="minorEastAsia"/>
          <w:b/>
          <w:bCs/>
          <w:sz w:val="32"/>
          <w:szCs w:val="40"/>
          <w:lang w:val="en-US" w:eastAsia="zh-CN"/>
        </w:rPr>
      </w:pPr>
      <w:r>
        <w:rPr>
          <w:rFonts w:hint="eastAsia"/>
          <w:b/>
          <w:bCs/>
          <w:sz w:val="32"/>
          <w:szCs w:val="40"/>
          <w:lang w:val="en-US" w:eastAsia="zh-CN"/>
        </w:rPr>
        <w:t>四</w:t>
      </w:r>
      <w:r>
        <w:rPr>
          <w:rFonts w:hint="eastAsia"/>
          <w:b/>
          <w:bCs/>
          <w:sz w:val="32"/>
          <w:szCs w:val="40"/>
        </w:rPr>
        <w:t>、</w:t>
      </w:r>
      <w:r>
        <w:rPr>
          <w:rFonts w:hint="eastAsia"/>
          <w:b/>
          <w:bCs/>
          <w:sz w:val="32"/>
          <w:szCs w:val="40"/>
          <w:lang w:val="en-US" w:eastAsia="zh-CN"/>
        </w:rPr>
        <w:t>其他要求</w:t>
      </w:r>
    </w:p>
    <w:p>
      <w:pPr>
        <w:pStyle w:val="2"/>
        <w:ind w:firstLine="203"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1、本系统接口应无条件，免费对医院开放，并配合医院提供给其他系统使用（如需要），系统数据交互要求在医院数据集成平台上进行，如涉及其他HIS、LIS接口协调或费用，由医院承担。</w:t>
      </w:r>
    </w:p>
    <w:p>
      <w:pPr>
        <w:pStyle w:val="2"/>
        <w:ind w:firstLine="203"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2、系统免费维保期不少于三年，质保期内如发生系统更新，公司应为医院免费提供。</w:t>
      </w:r>
      <w:bookmarkStart w:id="0" w:name="_GoBack"/>
      <w:bookmarkEnd w:id="0"/>
    </w:p>
    <w:p>
      <w:pPr>
        <w:pStyle w:val="2"/>
        <w:ind w:firstLine="203" w:firstLineChars="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3、出保后的每年维保费不高于中标价的7%。</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MzRlNGNkNDA0YTViN2Q2Mjk3MTYzOGY2ZTNmNTQifQ=="/>
  </w:docVars>
  <w:rsids>
    <w:rsidRoot w:val="00000000"/>
    <w:rsid w:val="0D557CCA"/>
    <w:rsid w:val="1B3B69BF"/>
    <w:rsid w:val="24D53C07"/>
    <w:rsid w:val="272A2727"/>
    <w:rsid w:val="399164EB"/>
    <w:rsid w:val="43B2664F"/>
    <w:rsid w:val="6EBF2A80"/>
    <w:rsid w:val="730D6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6947</Words>
  <Characters>7354</Characters>
  <TotalTime>9</TotalTime>
  <ScaleCrop>false</ScaleCrop>
  <LinksUpToDate>false</LinksUpToDate>
  <CharactersWithSpaces>7366</CharactersWithSpaces>
  <Application>WPS Office_11.1.0.11830_F1E327BC-269C-435d-A152-05C5408002CA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2022-06-06T06:32:00Z</dcterms:created>
  <dc:creator>Administrator</dc:creator>
  <cp:lastModifiedBy>chen</cp:lastModifiedBy>
  <dcterms:modified xsi:type="dcterms:W3CDTF">2022-06-22T08:29:14Z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E4447B422A5E4559A96F959B9BF68B67</vt:lpwstr>
  </property>
</Properties>
</file>