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Cs w:val="21"/>
        </w:rPr>
      </w:pPr>
      <w:r>
        <w:rPr>
          <w:rFonts w:hint="eastAsia" w:ascii="宋体" w:hAnsi="宋体" w:eastAsia="宋体"/>
          <w:b/>
          <w:bCs/>
          <w:szCs w:val="21"/>
        </w:rPr>
        <w:t>苏州市第九人民医院院安全设备续保扩容及安全服务项目调研</w:t>
      </w:r>
    </w:p>
    <w:p>
      <w:pPr>
        <w:spacing w:line="360" w:lineRule="auto"/>
        <w:rPr>
          <w:rFonts w:ascii="宋体" w:hAnsi="宋体" w:eastAsia="宋体"/>
          <w:szCs w:val="21"/>
        </w:rPr>
      </w:pPr>
    </w:p>
    <w:p>
      <w:pPr>
        <w:pStyle w:val="8"/>
        <w:numPr>
          <w:ilvl w:val="0"/>
          <w:numId w:val="1"/>
        </w:numPr>
        <w:spacing w:line="360" w:lineRule="auto"/>
        <w:ind w:firstLineChars="0"/>
        <w:outlineLvl w:val="0"/>
        <w:rPr>
          <w:rFonts w:ascii="宋体" w:hAnsi="宋体" w:eastAsia="宋体"/>
          <w:b/>
          <w:bCs/>
          <w:szCs w:val="21"/>
        </w:rPr>
      </w:pPr>
      <w:r>
        <w:rPr>
          <w:rFonts w:hint="eastAsia" w:ascii="宋体" w:hAnsi="宋体" w:eastAsia="宋体"/>
          <w:b/>
          <w:bCs/>
          <w:szCs w:val="21"/>
        </w:rPr>
        <w:t>设备维保及扩容服务目标</w:t>
      </w:r>
    </w:p>
    <w:p>
      <w:pPr>
        <w:pStyle w:val="8"/>
        <w:numPr>
          <w:ilvl w:val="0"/>
          <w:numId w:val="2"/>
        </w:numPr>
        <w:spacing w:line="360" w:lineRule="auto"/>
        <w:ind w:firstLineChars="0"/>
        <w:rPr>
          <w:rFonts w:ascii="宋体" w:hAnsi="宋体" w:eastAsia="宋体"/>
          <w:szCs w:val="21"/>
        </w:rPr>
      </w:pPr>
      <w:r>
        <w:rPr>
          <w:rFonts w:hint="eastAsia" w:ascii="宋体" w:hAnsi="宋体" w:eastAsia="宋体"/>
          <w:szCs w:val="21"/>
        </w:rPr>
        <w:t>通过设备维保服务可获得</w:t>
      </w:r>
      <w:r>
        <w:rPr>
          <w:rFonts w:ascii="宋体" w:hAnsi="宋体" w:eastAsia="宋体"/>
          <w:szCs w:val="21"/>
        </w:rPr>
        <w:t>7*24小时远程和现场支持服务，确保一旦发生故障，迅速得到技术专家的技术支持。</w:t>
      </w:r>
    </w:p>
    <w:p>
      <w:pPr>
        <w:pStyle w:val="8"/>
        <w:numPr>
          <w:ilvl w:val="0"/>
          <w:numId w:val="2"/>
        </w:numPr>
        <w:spacing w:line="360" w:lineRule="auto"/>
        <w:ind w:firstLineChars="0"/>
        <w:rPr>
          <w:rFonts w:ascii="宋体" w:hAnsi="宋体" w:eastAsia="宋体"/>
          <w:szCs w:val="21"/>
        </w:rPr>
      </w:pPr>
      <w:r>
        <w:rPr>
          <w:rFonts w:ascii="宋体" w:hAnsi="宋体" w:eastAsia="宋体"/>
          <w:szCs w:val="21"/>
        </w:rPr>
        <w:t>维保服务期内设备软件故障可得到原厂代码级支持，确保设备在运维中遇到任何问题，故障隐患都可以完善处置、定位并解决。</w:t>
      </w:r>
    </w:p>
    <w:p>
      <w:pPr>
        <w:pStyle w:val="8"/>
        <w:numPr>
          <w:ilvl w:val="0"/>
          <w:numId w:val="2"/>
        </w:numPr>
        <w:spacing w:line="360" w:lineRule="auto"/>
        <w:ind w:firstLineChars="0"/>
        <w:rPr>
          <w:rFonts w:ascii="宋体" w:hAnsi="宋体" w:eastAsia="宋体"/>
          <w:szCs w:val="21"/>
        </w:rPr>
      </w:pPr>
      <w:r>
        <w:rPr>
          <w:rFonts w:ascii="宋体" w:hAnsi="宋体" w:eastAsia="宋体"/>
          <w:szCs w:val="21"/>
        </w:rPr>
        <w:t>在维保服务期内原厂发布重要、重大软件更新，能够及时得到原厂技术支持，包括软件和版本升级服务，确保</w:t>
      </w:r>
      <w:r>
        <w:rPr>
          <w:rFonts w:hint="eastAsia" w:ascii="宋体" w:hAnsi="宋体" w:eastAsia="宋体"/>
          <w:szCs w:val="21"/>
        </w:rPr>
        <w:t>我院网络安全</w:t>
      </w:r>
      <w:r>
        <w:rPr>
          <w:rFonts w:ascii="宋体" w:hAnsi="宋体" w:eastAsia="宋体"/>
          <w:szCs w:val="21"/>
        </w:rPr>
        <w:t>设备在维保服务期间的安全、可靠、稳定和扩展性。</w:t>
      </w:r>
    </w:p>
    <w:p>
      <w:pPr>
        <w:pStyle w:val="8"/>
        <w:numPr>
          <w:ilvl w:val="0"/>
          <w:numId w:val="2"/>
        </w:numPr>
        <w:spacing w:line="360" w:lineRule="auto"/>
        <w:ind w:firstLineChars="0"/>
        <w:rPr>
          <w:rFonts w:ascii="宋体" w:hAnsi="宋体" w:eastAsia="宋体"/>
          <w:szCs w:val="21"/>
        </w:rPr>
      </w:pPr>
      <w:r>
        <w:rPr>
          <w:rFonts w:hint="eastAsia" w:ascii="宋体" w:hAnsi="宋体" w:eastAsia="宋体"/>
          <w:szCs w:val="21"/>
        </w:rPr>
        <w:t>提供7*24整体网络环境、链路</w:t>
      </w:r>
      <w:bookmarkStart w:id="0" w:name="_GoBack"/>
      <w:bookmarkEnd w:id="0"/>
      <w:r>
        <w:rPr>
          <w:rFonts w:hint="eastAsia" w:ascii="宋体" w:hAnsi="宋体" w:eastAsia="宋体"/>
          <w:szCs w:val="21"/>
        </w:rPr>
        <w:t>和网络安全系统的日常运维保障。包含安全规划、日常巡检、安全加固、应急响应、风险评估、渗透测试和安全培训服务。</w:t>
      </w:r>
    </w:p>
    <w:p>
      <w:pPr>
        <w:pStyle w:val="8"/>
        <w:spacing w:line="360" w:lineRule="auto"/>
        <w:ind w:left="804" w:firstLine="0" w:firstLineChars="0"/>
        <w:rPr>
          <w:rFonts w:ascii="宋体" w:hAnsi="宋体" w:eastAsia="宋体"/>
          <w:szCs w:val="21"/>
        </w:rPr>
      </w:pPr>
    </w:p>
    <w:p>
      <w:pPr>
        <w:pStyle w:val="8"/>
        <w:numPr>
          <w:ilvl w:val="0"/>
          <w:numId w:val="1"/>
        </w:numPr>
        <w:spacing w:line="360" w:lineRule="auto"/>
        <w:ind w:firstLineChars="0"/>
        <w:outlineLvl w:val="0"/>
        <w:rPr>
          <w:rFonts w:ascii="宋体" w:hAnsi="宋体" w:eastAsia="宋体"/>
          <w:b/>
          <w:bCs/>
          <w:szCs w:val="21"/>
        </w:rPr>
      </w:pPr>
      <w:r>
        <w:rPr>
          <w:rFonts w:hint="eastAsia" w:ascii="宋体" w:hAnsi="宋体" w:eastAsia="宋体"/>
          <w:b/>
          <w:bCs/>
          <w:szCs w:val="21"/>
        </w:rPr>
        <w:t>维保及扩容网络安全设备清单</w:t>
      </w:r>
    </w:p>
    <w:p>
      <w:pPr>
        <w:pStyle w:val="8"/>
        <w:numPr>
          <w:ilvl w:val="0"/>
          <w:numId w:val="3"/>
        </w:numPr>
        <w:spacing w:line="360" w:lineRule="auto"/>
        <w:ind w:firstLineChars="0"/>
        <w:outlineLvl w:val="1"/>
        <w:rPr>
          <w:rFonts w:ascii="宋体" w:hAnsi="宋体" w:eastAsia="宋体"/>
          <w:szCs w:val="21"/>
        </w:rPr>
      </w:pPr>
      <w:r>
        <w:rPr>
          <w:rFonts w:hint="eastAsia" w:ascii="宋体" w:hAnsi="宋体" w:eastAsia="宋体"/>
          <w:szCs w:val="21"/>
        </w:rPr>
        <w:t>维保清单</w:t>
      </w:r>
    </w:p>
    <w:tbl>
      <w:tblPr>
        <w:tblStyle w:val="4"/>
        <w:tblW w:w="8642" w:type="dxa"/>
        <w:tblInd w:w="0" w:type="dxa"/>
        <w:tblLayout w:type="autofit"/>
        <w:tblCellMar>
          <w:top w:w="0" w:type="dxa"/>
          <w:left w:w="108" w:type="dxa"/>
          <w:bottom w:w="0" w:type="dxa"/>
          <w:right w:w="108" w:type="dxa"/>
        </w:tblCellMar>
      </w:tblPr>
      <w:tblGrid>
        <w:gridCol w:w="618"/>
        <w:gridCol w:w="2496"/>
        <w:gridCol w:w="2366"/>
        <w:gridCol w:w="1181"/>
        <w:gridCol w:w="1981"/>
      </w:tblGrid>
      <w:tr>
        <w:tblPrEx>
          <w:tblCellMar>
            <w:top w:w="0" w:type="dxa"/>
            <w:left w:w="108" w:type="dxa"/>
            <w:bottom w:w="0" w:type="dxa"/>
            <w:right w:w="108" w:type="dxa"/>
          </w:tblCellMar>
        </w:tblPrEx>
        <w:trPr>
          <w:trHeight w:val="276"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24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23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产品型号</w:t>
            </w:r>
          </w:p>
        </w:tc>
        <w:tc>
          <w:tcPr>
            <w:tcW w:w="11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质保类型</w:t>
            </w:r>
          </w:p>
        </w:tc>
        <w:tc>
          <w:tcPr>
            <w:tcW w:w="19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续至时间</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4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深信服 外网负载均衡 主</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AD-1000-D620</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深信服 外网负载均衡 备</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AD-1000-D620</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山石网科 专网防火墙</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SG-6000 E5168</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深信服 防火墙</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AF-1000-FA40-GL</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网御 行为流控 主</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LeadsecACM-N6010</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网御 行为流控 备</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LeadsecACM-N6010</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锐捷 外网防火墙 主</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RG-WALL 1600-X8500</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锐捷 外网防火墙 备</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RG-WALL 1600-X8500</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天融信 软件木马检查</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（TI-51428-TVD）</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软件授权</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网御WEB防护 主</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Leadsec-6000WAF-A</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网御WEB防护 备</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Leadsec-6000WAF-A</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网御 漏洞扫描</w:t>
            </w:r>
          </w:p>
        </w:tc>
        <w:tc>
          <w:tcPr>
            <w:tcW w:w="23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TS-SC-S1100</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山石网科备用墙</w:t>
            </w:r>
          </w:p>
        </w:tc>
        <w:tc>
          <w:tcPr>
            <w:tcW w:w="23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SG-6000 E5168</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2024年5月30日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4</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60</w:t>
            </w:r>
            <w:r>
              <w:rPr>
                <w:rFonts w:hint="eastAsia" w:ascii="宋体" w:hAnsi="宋体" w:eastAsia="宋体" w:cs="宋体"/>
                <w:color w:val="000000"/>
                <w:kern w:val="0"/>
                <w:sz w:val="20"/>
                <w:szCs w:val="20"/>
              </w:rPr>
              <w:t>杀毒软件</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1500个终端安全</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2024年12月31日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5</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60</w:t>
            </w:r>
            <w:r>
              <w:rPr>
                <w:rFonts w:hint="eastAsia" w:ascii="宋体" w:hAnsi="宋体" w:eastAsia="宋体" w:cs="宋体"/>
                <w:color w:val="000000"/>
                <w:kern w:val="0"/>
                <w:sz w:val="20"/>
                <w:szCs w:val="20"/>
              </w:rPr>
              <w:t>杀毒软件</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150windows服务器终端</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软件授权</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2024年12月31日</w:t>
            </w:r>
          </w:p>
        </w:tc>
      </w:tr>
      <w:tr>
        <w:tblPrEx>
          <w:tblCellMar>
            <w:top w:w="0" w:type="dxa"/>
            <w:left w:w="108" w:type="dxa"/>
            <w:bottom w:w="0" w:type="dxa"/>
            <w:right w:w="108" w:type="dxa"/>
          </w:tblCellMar>
        </w:tblPrEx>
        <w:trPr>
          <w:trHeight w:val="276"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6</w:t>
            </w:r>
          </w:p>
        </w:tc>
        <w:tc>
          <w:tcPr>
            <w:tcW w:w="2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60</w:t>
            </w:r>
            <w:r>
              <w:rPr>
                <w:rFonts w:hint="eastAsia" w:ascii="宋体" w:hAnsi="宋体" w:eastAsia="宋体" w:cs="宋体"/>
                <w:color w:val="000000"/>
                <w:kern w:val="0"/>
                <w:sz w:val="20"/>
                <w:szCs w:val="20"/>
              </w:rPr>
              <w:t>杀毒软件</w:t>
            </w:r>
          </w:p>
        </w:tc>
        <w:tc>
          <w:tcPr>
            <w:tcW w:w="23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1000个终端安全</w:t>
            </w:r>
          </w:p>
        </w:tc>
        <w:tc>
          <w:tcPr>
            <w:tcW w:w="11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特征库</w:t>
            </w:r>
          </w:p>
        </w:tc>
        <w:tc>
          <w:tcPr>
            <w:tcW w:w="198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2024年12月31日</w:t>
            </w:r>
          </w:p>
        </w:tc>
      </w:tr>
    </w:tbl>
    <w:p>
      <w:pPr>
        <w:spacing w:line="360" w:lineRule="auto"/>
        <w:outlineLvl w:val="1"/>
        <w:rPr>
          <w:rFonts w:ascii="宋体" w:hAnsi="宋体" w:eastAsia="宋体"/>
          <w:szCs w:val="21"/>
        </w:rPr>
      </w:pPr>
    </w:p>
    <w:p>
      <w:pPr>
        <w:pStyle w:val="8"/>
        <w:numPr>
          <w:ilvl w:val="0"/>
          <w:numId w:val="3"/>
        </w:numPr>
        <w:spacing w:line="360" w:lineRule="auto"/>
        <w:ind w:firstLineChars="0"/>
        <w:outlineLvl w:val="1"/>
        <w:rPr>
          <w:rFonts w:ascii="宋体" w:hAnsi="宋体" w:eastAsia="宋体"/>
          <w:szCs w:val="21"/>
        </w:rPr>
      </w:pPr>
      <w:r>
        <w:rPr>
          <w:rFonts w:hint="eastAsia" w:ascii="宋体" w:hAnsi="宋体" w:eastAsia="宋体"/>
          <w:szCs w:val="21"/>
        </w:rPr>
        <w:t>扩容清单</w:t>
      </w:r>
    </w:p>
    <w:tbl>
      <w:tblPr>
        <w:tblStyle w:val="4"/>
        <w:tblW w:w="8642" w:type="dxa"/>
        <w:tblInd w:w="0" w:type="dxa"/>
        <w:tblLayout w:type="fixed"/>
        <w:tblCellMar>
          <w:top w:w="0" w:type="dxa"/>
          <w:left w:w="108" w:type="dxa"/>
          <w:bottom w:w="0" w:type="dxa"/>
          <w:right w:w="108" w:type="dxa"/>
        </w:tblCellMar>
      </w:tblPr>
      <w:tblGrid>
        <w:gridCol w:w="689"/>
        <w:gridCol w:w="1413"/>
        <w:gridCol w:w="2146"/>
        <w:gridCol w:w="1272"/>
        <w:gridCol w:w="1279"/>
        <w:gridCol w:w="1843"/>
      </w:tblGrid>
      <w:tr>
        <w:tblPrEx>
          <w:tblCellMar>
            <w:top w:w="0" w:type="dxa"/>
            <w:left w:w="108" w:type="dxa"/>
            <w:bottom w:w="0" w:type="dxa"/>
            <w:right w:w="108" w:type="dxa"/>
          </w:tblCellMar>
        </w:tblPrEx>
        <w:trPr>
          <w:trHeight w:val="276"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4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2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产品型号</w:t>
            </w:r>
          </w:p>
        </w:tc>
        <w:tc>
          <w:tcPr>
            <w:tcW w:w="12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扩容点数</w:t>
            </w:r>
          </w:p>
        </w:tc>
        <w:tc>
          <w:tcPr>
            <w:tcW w:w="12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质保类型</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276" w:hRule="atLeast"/>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4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锐捷堡垒机</w:t>
            </w:r>
          </w:p>
        </w:tc>
        <w:tc>
          <w:tcPr>
            <w:tcW w:w="21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RG-DAS 1000E</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200点授权</w:t>
            </w:r>
          </w:p>
        </w:tc>
        <w:tc>
          <w:tcPr>
            <w:tcW w:w="12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扩容授权</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永久有效</w:t>
            </w:r>
          </w:p>
        </w:tc>
      </w:tr>
      <w:tr>
        <w:tblPrEx>
          <w:tblCellMar>
            <w:top w:w="0" w:type="dxa"/>
            <w:left w:w="108" w:type="dxa"/>
            <w:bottom w:w="0" w:type="dxa"/>
            <w:right w:w="108" w:type="dxa"/>
          </w:tblCellMar>
        </w:tblPrEx>
        <w:trPr>
          <w:trHeight w:val="276" w:hRule="atLeast"/>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4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r>
              <w:rPr>
                <w:rFonts w:ascii="宋体" w:hAnsi="宋体" w:eastAsia="宋体" w:cs="宋体"/>
                <w:color w:val="000000"/>
                <w:kern w:val="0"/>
                <w:sz w:val="20"/>
                <w:szCs w:val="20"/>
              </w:rPr>
              <w:t>60</w:t>
            </w:r>
            <w:r>
              <w:rPr>
                <w:rFonts w:hint="eastAsia" w:ascii="宋体" w:hAnsi="宋体" w:eastAsia="宋体" w:cs="宋体"/>
                <w:color w:val="000000"/>
                <w:kern w:val="0"/>
                <w:sz w:val="20"/>
                <w:szCs w:val="20"/>
              </w:rPr>
              <w:t>杀毒软件</w:t>
            </w:r>
          </w:p>
        </w:tc>
        <w:tc>
          <w:tcPr>
            <w:tcW w:w="214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服务器终端（40*W+10*L)</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50点授权</w:t>
            </w:r>
          </w:p>
        </w:tc>
        <w:tc>
          <w:tcPr>
            <w:tcW w:w="12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扩容授权</w:t>
            </w:r>
          </w:p>
        </w:tc>
        <w:tc>
          <w:tcPr>
            <w:tcW w:w="1843" w:type="dxa"/>
            <w:tcBorders>
              <w:top w:val="nil"/>
              <w:left w:val="nil"/>
              <w:bottom w:val="single" w:color="auto" w:sz="4" w:space="0"/>
              <w:right w:val="single" w:color="auto" w:sz="4" w:space="0"/>
            </w:tcBorders>
            <w:shd w:val="clear" w:color="auto" w:fill="auto"/>
            <w:noWrap/>
            <w:vAlign w:val="center"/>
          </w:tcPr>
          <w:p>
            <w:pPr>
              <w:widowControl/>
              <w:rPr>
                <w:rFonts w:ascii="等线" w:hAnsi="等线" w:eastAsia="等线" w:cs="宋体"/>
                <w:color w:val="000000"/>
                <w:kern w:val="0"/>
                <w:sz w:val="20"/>
                <w:szCs w:val="20"/>
              </w:rPr>
            </w:pPr>
            <w:r>
              <w:rPr>
                <w:rFonts w:hint="eastAsia" w:ascii="宋体" w:hAnsi="宋体" w:eastAsia="宋体" w:cs="宋体"/>
                <w:color w:val="000000"/>
                <w:kern w:val="0"/>
                <w:sz w:val="20"/>
                <w:szCs w:val="20"/>
              </w:rPr>
              <w:t>2024年12月31日</w:t>
            </w:r>
          </w:p>
        </w:tc>
      </w:tr>
    </w:tbl>
    <w:p>
      <w:pPr>
        <w:spacing w:line="360" w:lineRule="auto"/>
        <w:rPr>
          <w:sz w:val="24"/>
          <w:szCs w:val="24"/>
        </w:rPr>
      </w:pPr>
    </w:p>
    <w:p>
      <w:pPr>
        <w:pStyle w:val="8"/>
        <w:numPr>
          <w:ilvl w:val="0"/>
          <w:numId w:val="3"/>
        </w:numPr>
        <w:spacing w:line="360" w:lineRule="auto"/>
        <w:ind w:firstLineChars="0"/>
        <w:outlineLvl w:val="1"/>
        <w:rPr>
          <w:rFonts w:ascii="宋体" w:hAnsi="宋体" w:eastAsia="宋体"/>
          <w:szCs w:val="21"/>
        </w:rPr>
      </w:pPr>
      <w:r>
        <w:rPr>
          <w:rFonts w:hint="eastAsia" w:ascii="宋体" w:hAnsi="宋体" w:eastAsia="宋体"/>
          <w:szCs w:val="21"/>
        </w:rPr>
        <w:t>服务清单及要求</w:t>
      </w:r>
    </w:p>
    <w:tbl>
      <w:tblPr>
        <w:tblStyle w:val="4"/>
        <w:tblW w:w="8642" w:type="dxa"/>
        <w:tblInd w:w="0" w:type="dxa"/>
        <w:tblLayout w:type="fixed"/>
        <w:tblCellMar>
          <w:top w:w="0" w:type="dxa"/>
          <w:left w:w="108" w:type="dxa"/>
          <w:bottom w:w="0" w:type="dxa"/>
          <w:right w:w="108" w:type="dxa"/>
        </w:tblCellMar>
      </w:tblPr>
      <w:tblGrid>
        <w:gridCol w:w="689"/>
        <w:gridCol w:w="1433"/>
        <w:gridCol w:w="3969"/>
        <w:gridCol w:w="1275"/>
        <w:gridCol w:w="1276"/>
      </w:tblGrid>
      <w:tr>
        <w:tblPrEx>
          <w:tblCellMar>
            <w:top w:w="0" w:type="dxa"/>
            <w:left w:w="108" w:type="dxa"/>
            <w:bottom w:w="0" w:type="dxa"/>
            <w:right w:w="108" w:type="dxa"/>
          </w:tblCellMar>
        </w:tblPrEx>
        <w:trPr>
          <w:trHeight w:val="276"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标的物名称</w:t>
            </w:r>
          </w:p>
        </w:tc>
        <w:tc>
          <w:tcPr>
            <w:tcW w:w="396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服务要求</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服务期限</w:t>
            </w:r>
          </w:p>
        </w:tc>
      </w:tr>
      <w:tr>
        <w:tblPrEx>
          <w:tblCellMar>
            <w:top w:w="0" w:type="dxa"/>
            <w:left w:w="108" w:type="dxa"/>
            <w:bottom w:w="0" w:type="dxa"/>
            <w:right w:w="108" w:type="dxa"/>
          </w:tblCellMar>
        </w:tblPrEx>
        <w:trPr>
          <w:trHeight w:val="276" w:hRule="atLeast"/>
        </w:trPr>
        <w:tc>
          <w:tcPr>
            <w:tcW w:w="6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4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网络、信息安全运维服务</w:t>
            </w:r>
          </w:p>
        </w:tc>
        <w:tc>
          <w:tcPr>
            <w:tcW w:w="39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提供7*24整体网络环境、链路和网络安全系统的日常运维保障。包含安全规划、日常巡检、安全加固、应急响应、风险评估、渗透测试和安全培训服务</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2</w:t>
            </w:r>
            <w:r>
              <w:rPr>
                <w:rFonts w:hint="eastAsia" w:ascii="宋体" w:hAnsi="宋体" w:eastAsia="宋体" w:cs="宋体"/>
                <w:color w:val="000000"/>
                <w:kern w:val="0"/>
                <w:sz w:val="20"/>
                <w:szCs w:val="20"/>
              </w:rPr>
              <w:t>年</w:t>
            </w:r>
            <w:r>
              <w:rPr>
                <w:rFonts w:ascii="宋体" w:hAnsi="宋体" w:eastAsia="宋体" w:cs="宋体"/>
                <w:color w:val="000000"/>
                <w:kern w:val="0"/>
                <w:sz w:val="20"/>
                <w:szCs w:val="20"/>
              </w:rPr>
              <w:t xml:space="preserve"> </w:t>
            </w:r>
          </w:p>
        </w:tc>
      </w:tr>
    </w:tbl>
    <w:p>
      <w:pPr>
        <w:spacing w:line="360" w:lineRule="auto"/>
        <w:rPr>
          <w:sz w:val="24"/>
          <w:szCs w:val="24"/>
        </w:rPr>
      </w:pPr>
    </w:p>
    <w:p>
      <w:pPr>
        <w:pStyle w:val="8"/>
        <w:numPr>
          <w:ilvl w:val="0"/>
          <w:numId w:val="1"/>
        </w:numPr>
        <w:spacing w:line="360" w:lineRule="auto"/>
        <w:ind w:firstLineChars="0"/>
        <w:outlineLvl w:val="0"/>
        <w:rPr>
          <w:rFonts w:ascii="宋体" w:hAnsi="宋体" w:eastAsia="宋体"/>
          <w:b/>
          <w:bCs/>
          <w:szCs w:val="21"/>
        </w:rPr>
      </w:pPr>
      <w:r>
        <w:rPr>
          <w:rFonts w:hint="eastAsia" w:ascii="宋体" w:hAnsi="宋体" w:eastAsia="宋体"/>
          <w:b/>
          <w:bCs/>
          <w:szCs w:val="21"/>
        </w:rPr>
        <w:t>网络安全设备维保及扩容要求</w:t>
      </w:r>
    </w:p>
    <w:p>
      <w:pPr>
        <w:pStyle w:val="8"/>
        <w:numPr>
          <w:ilvl w:val="0"/>
          <w:numId w:val="4"/>
        </w:numPr>
        <w:spacing w:line="360" w:lineRule="auto"/>
        <w:ind w:firstLineChars="0"/>
        <w:outlineLvl w:val="1"/>
        <w:rPr>
          <w:rFonts w:ascii="宋体" w:hAnsi="宋体" w:eastAsia="宋体"/>
          <w:szCs w:val="21"/>
        </w:rPr>
      </w:pPr>
      <w:r>
        <w:rPr>
          <w:rFonts w:hint="eastAsia" w:ascii="宋体" w:hAnsi="宋体" w:eastAsia="宋体"/>
          <w:szCs w:val="21"/>
        </w:rPr>
        <w:t>基础要求</w:t>
      </w:r>
    </w:p>
    <w:p>
      <w:pPr>
        <w:pStyle w:val="8"/>
        <w:numPr>
          <w:ilvl w:val="0"/>
          <w:numId w:val="5"/>
        </w:numPr>
        <w:spacing w:line="360" w:lineRule="auto"/>
        <w:ind w:firstLineChars="0"/>
        <w:rPr>
          <w:rFonts w:ascii="宋体" w:hAnsi="宋体" w:eastAsia="宋体"/>
          <w:szCs w:val="21"/>
        </w:rPr>
      </w:pPr>
      <w:r>
        <w:rPr>
          <w:rFonts w:hint="eastAsia" w:ascii="宋体" w:hAnsi="宋体" w:eastAsia="宋体"/>
          <w:szCs w:val="21"/>
        </w:rPr>
        <w:t>对延保设备提供至对应年限的原厂延保服务（根据合同要求对相关设备进行特征库升级），并针对购买了延保服务的设备，提供完整的日常应用维护和技术支持服务；</w:t>
      </w:r>
    </w:p>
    <w:p>
      <w:pPr>
        <w:pStyle w:val="8"/>
        <w:numPr>
          <w:ilvl w:val="0"/>
          <w:numId w:val="5"/>
        </w:numPr>
        <w:spacing w:line="360" w:lineRule="auto"/>
        <w:ind w:firstLineChars="0"/>
        <w:rPr>
          <w:rFonts w:ascii="宋体" w:hAnsi="宋体" w:eastAsia="宋体"/>
          <w:szCs w:val="21"/>
        </w:rPr>
      </w:pPr>
      <w:r>
        <w:rPr>
          <w:rFonts w:hint="eastAsia" w:ascii="宋体" w:hAnsi="宋体" w:eastAsia="宋体"/>
          <w:szCs w:val="21"/>
        </w:rPr>
        <w:t>对扩容设备提供原厂扩容授权（根据合同要求对相关设备进行库容升级），并针对购买了扩容授权的设备，提供完整的授权导入升级、新增扩容项初始化上线、调试和相关的技术支持服务；</w:t>
      </w:r>
    </w:p>
    <w:p>
      <w:pPr>
        <w:pStyle w:val="8"/>
        <w:numPr>
          <w:ilvl w:val="0"/>
          <w:numId w:val="5"/>
        </w:numPr>
        <w:spacing w:line="360" w:lineRule="auto"/>
        <w:ind w:firstLineChars="0"/>
        <w:rPr>
          <w:rFonts w:ascii="宋体" w:hAnsi="宋体" w:eastAsia="宋体"/>
          <w:szCs w:val="21"/>
        </w:rPr>
      </w:pPr>
      <w:r>
        <w:rPr>
          <w:rFonts w:ascii="宋体" w:hAnsi="宋体" w:eastAsia="宋体"/>
          <w:szCs w:val="21"/>
        </w:rPr>
        <w:t>电话基本服务提供7×24小时不间断热线电话支持服务，通过电话可以直接联络专门技术工程师，寻求问题的解决方案、技术文档以及技术指导，电话支持需及时响应。</w:t>
      </w:r>
    </w:p>
    <w:p>
      <w:pPr>
        <w:pStyle w:val="8"/>
        <w:numPr>
          <w:ilvl w:val="0"/>
          <w:numId w:val="5"/>
        </w:numPr>
        <w:spacing w:line="360" w:lineRule="auto"/>
        <w:ind w:firstLineChars="0"/>
        <w:rPr>
          <w:rFonts w:ascii="宋体" w:hAnsi="宋体" w:eastAsia="宋体"/>
          <w:szCs w:val="21"/>
        </w:rPr>
      </w:pPr>
      <w:r>
        <w:rPr>
          <w:rFonts w:ascii="宋体" w:hAnsi="宋体" w:eastAsia="宋体"/>
          <w:szCs w:val="21"/>
        </w:rPr>
        <w:t>因为设备故障等原因，采购方需要进行数据恢复时，安排工程师值守配合采购方的需求，提供系统的备份以及恢复的咨询，帮助采购方制定系统的备份方案，并且能在采购方进行备份恢复测试时提供辅助。另外，应根据采购方需要，进行相关的软硬件配置、调整等。</w:t>
      </w:r>
    </w:p>
    <w:p>
      <w:pPr>
        <w:pStyle w:val="8"/>
        <w:numPr>
          <w:ilvl w:val="0"/>
          <w:numId w:val="5"/>
        </w:numPr>
        <w:spacing w:line="360" w:lineRule="auto"/>
        <w:ind w:firstLineChars="0"/>
        <w:rPr>
          <w:rFonts w:ascii="宋体" w:hAnsi="宋体" w:eastAsia="宋体"/>
          <w:szCs w:val="21"/>
        </w:rPr>
      </w:pPr>
      <w:r>
        <w:rPr>
          <w:rFonts w:ascii="宋体" w:hAnsi="宋体" w:eastAsia="宋体"/>
          <w:szCs w:val="21"/>
        </w:rPr>
        <w:t>对采购方在不同阶段遇到的各种具体问题提供服务支持，包括现场服务，非工作时间技术支持服务。如系统宕机，性能的下降，系统配置的等问题。</w:t>
      </w:r>
    </w:p>
    <w:p>
      <w:pPr>
        <w:pStyle w:val="8"/>
        <w:numPr>
          <w:ilvl w:val="0"/>
          <w:numId w:val="5"/>
        </w:numPr>
        <w:spacing w:line="360" w:lineRule="auto"/>
        <w:ind w:firstLineChars="0"/>
        <w:rPr>
          <w:rFonts w:ascii="宋体" w:hAnsi="宋体" w:eastAsia="宋体"/>
          <w:szCs w:val="21"/>
        </w:rPr>
      </w:pPr>
      <w:r>
        <w:rPr>
          <w:rFonts w:ascii="宋体" w:hAnsi="宋体" w:eastAsia="宋体"/>
          <w:szCs w:val="21"/>
        </w:rPr>
        <w:t>提供可靠的服务保障，能提供正常的技术、备品备件服务。拥有本地备件库。技术服务运行维护符合相关标准。</w:t>
      </w:r>
    </w:p>
    <w:p>
      <w:pPr>
        <w:pStyle w:val="8"/>
        <w:numPr>
          <w:ilvl w:val="0"/>
          <w:numId w:val="4"/>
        </w:numPr>
        <w:spacing w:line="360" w:lineRule="auto"/>
        <w:ind w:firstLineChars="0"/>
        <w:outlineLvl w:val="1"/>
        <w:rPr>
          <w:rFonts w:ascii="宋体" w:hAnsi="宋体" w:eastAsia="宋体"/>
          <w:szCs w:val="21"/>
        </w:rPr>
      </w:pPr>
      <w:r>
        <w:rPr>
          <w:rFonts w:hint="eastAsia" w:ascii="宋体" w:hAnsi="宋体" w:eastAsia="宋体"/>
          <w:szCs w:val="21"/>
        </w:rPr>
        <w:t>网络、信息安全运维要求</w:t>
      </w:r>
    </w:p>
    <w:p>
      <w:pPr>
        <w:pStyle w:val="8"/>
        <w:numPr>
          <w:ilvl w:val="0"/>
          <w:numId w:val="6"/>
        </w:numPr>
        <w:spacing w:line="360" w:lineRule="auto"/>
        <w:ind w:firstLineChars="0"/>
        <w:outlineLvl w:val="2"/>
        <w:rPr>
          <w:rFonts w:ascii="宋体" w:hAnsi="宋体" w:eastAsia="宋体"/>
          <w:szCs w:val="21"/>
        </w:rPr>
      </w:pPr>
      <w:r>
        <w:rPr>
          <w:rFonts w:ascii="宋体" w:hAnsi="宋体" w:eastAsia="宋体"/>
          <w:szCs w:val="21"/>
        </w:rPr>
        <w:t>网络</w:t>
      </w:r>
      <w:r>
        <w:rPr>
          <w:rFonts w:hint="eastAsia" w:ascii="宋体" w:hAnsi="宋体" w:eastAsia="宋体"/>
          <w:szCs w:val="21"/>
        </w:rPr>
        <w:t>、信息</w:t>
      </w:r>
      <w:r>
        <w:rPr>
          <w:rFonts w:ascii="宋体" w:hAnsi="宋体" w:eastAsia="宋体"/>
          <w:szCs w:val="21"/>
        </w:rPr>
        <w:t>安全巡检</w:t>
      </w:r>
      <w:r>
        <w:rPr>
          <w:rFonts w:hint="eastAsia" w:ascii="宋体" w:hAnsi="宋体" w:eastAsia="宋体"/>
          <w:szCs w:val="21"/>
        </w:rPr>
        <w:t>要求</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日常安全监控运维服务</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安全设备日常巡检：安全设备软、硬件健康性检查，安全策略检查、及安全日志分析等。</w:t>
      </w:r>
    </w:p>
    <w:p>
      <w:pPr>
        <w:spacing w:line="360" w:lineRule="auto"/>
        <w:rPr>
          <w:rFonts w:ascii="宋体" w:hAnsi="宋体" w:eastAsia="宋体"/>
          <w:szCs w:val="21"/>
        </w:rPr>
      </w:pPr>
      <w:r>
        <w:rPr>
          <w:rFonts w:hint="eastAsia" w:ascii="宋体" w:hAnsi="宋体" w:eastAsia="宋体"/>
          <w:szCs w:val="21"/>
        </w:rPr>
        <w:t>（包括防火墙</w:t>
      </w:r>
      <w:r>
        <w:rPr>
          <w:rFonts w:ascii="宋体" w:hAnsi="宋体" w:eastAsia="宋体"/>
          <w:szCs w:val="21"/>
        </w:rPr>
        <w:t>、WEB 应用防火墙、基线管理系统、安全运维，堡垒机、漏洞扫描以及与安全运维有关的服务器及存储设备。监控相关硬件设备使用是否正常、系统日志是否有报错、网络连通性是否正常等。</w:t>
      </w:r>
      <w:r>
        <w:rPr>
          <w:rFonts w:hint="eastAsia" w:ascii="宋体" w:hAnsi="宋体" w:eastAsia="宋体"/>
          <w:szCs w:val="21"/>
        </w:rPr>
        <w:t>）</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协助完成安全策略的核查与整改</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优化整理关键业务平台的安全设备的拓扑资料，保持相关资料的更新</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维护更新安全运维文档，应急响应流程</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对新设备进场进行安全配置核查系统使用状况和运行趋势分析</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定期提供系统的资源使用统计、相关日志进行归档和历史运行趋势分析，并提交报告。监测、记录网络运行状态、网络安全事件的技术措施，并按照规定留存相关的网络日志不少于六个月，满足《网络安全法》和相关法律法规要求。</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协助处理相关部门端口开放等业务申请</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根据客户业务需求配合调整网络安全设备端口权限和策略设置。</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防火墙策略优化</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安全配置核查服务</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补丁升级（含服务器操作系统和终端操作系统）</w:t>
      </w:r>
    </w:p>
    <w:p>
      <w:pPr>
        <w:pStyle w:val="8"/>
        <w:numPr>
          <w:ilvl w:val="0"/>
          <w:numId w:val="7"/>
        </w:numPr>
        <w:spacing w:line="360" w:lineRule="auto"/>
        <w:ind w:firstLineChars="0"/>
        <w:rPr>
          <w:rFonts w:ascii="宋体" w:hAnsi="宋体" w:eastAsia="宋体"/>
          <w:szCs w:val="21"/>
        </w:rPr>
      </w:pPr>
      <w:r>
        <w:rPr>
          <w:rFonts w:ascii="宋体" w:hAnsi="宋体" w:eastAsia="宋体"/>
          <w:szCs w:val="21"/>
        </w:rPr>
        <w:t>重大节假日保障支撑服务</w:t>
      </w:r>
    </w:p>
    <w:p>
      <w:pPr>
        <w:pStyle w:val="8"/>
        <w:numPr>
          <w:ilvl w:val="0"/>
          <w:numId w:val="6"/>
        </w:numPr>
        <w:spacing w:line="360" w:lineRule="auto"/>
        <w:ind w:firstLineChars="0"/>
        <w:outlineLvl w:val="2"/>
        <w:rPr>
          <w:rFonts w:ascii="宋体" w:hAnsi="宋体" w:eastAsia="宋体"/>
          <w:szCs w:val="21"/>
        </w:rPr>
      </w:pPr>
      <w:r>
        <w:rPr>
          <w:rFonts w:hint="eastAsia" w:ascii="宋体" w:hAnsi="宋体" w:eastAsia="宋体"/>
          <w:szCs w:val="21"/>
        </w:rPr>
        <w:t>应急响应要求</w:t>
      </w:r>
    </w:p>
    <w:p>
      <w:pPr>
        <w:pStyle w:val="8"/>
        <w:numPr>
          <w:ilvl w:val="0"/>
          <w:numId w:val="8"/>
        </w:numPr>
        <w:spacing w:line="360" w:lineRule="auto"/>
        <w:ind w:firstLineChars="0"/>
        <w:rPr>
          <w:rFonts w:ascii="宋体" w:hAnsi="宋体" w:eastAsia="宋体"/>
          <w:szCs w:val="21"/>
        </w:rPr>
      </w:pPr>
      <w:r>
        <w:rPr>
          <w:rFonts w:hint="eastAsia" w:ascii="宋体" w:hAnsi="宋体" w:eastAsia="宋体"/>
          <w:szCs w:val="21"/>
        </w:rPr>
        <w:t>建立应急响应机制，在保证快速响应的前提下，通过流程化、标准化的机制保障客户各应用系统出现信息安全事件，网络安全系统遇到重大故障时，需及时提供应急响应服务。同时协助客户每年修订完善网络与信息安全预案及各系统专项应急预案，并配合实施年度应急演练做好相关过程记录形成应急演练报告。</w:t>
      </w:r>
    </w:p>
    <w:p>
      <w:pPr>
        <w:pStyle w:val="8"/>
        <w:numPr>
          <w:ilvl w:val="0"/>
          <w:numId w:val="8"/>
        </w:numPr>
        <w:spacing w:line="360" w:lineRule="auto"/>
        <w:ind w:firstLineChars="0"/>
        <w:rPr>
          <w:rFonts w:ascii="宋体" w:hAnsi="宋体" w:eastAsia="宋体"/>
          <w:szCs w:val="21"/>
        </w:rPr>
      </w:pPr>
      <w:r>
        <w:rPr>
          <w:rFonts w:hint="eastAsia" w:ascii="宋体" w:hAnsi="宋体" w:eastAsia="宋体"/>
          <w:szCs w:val="21"/>
        </w:rPr>
        <w:t>2年内提供不限次数“</w:t>
      </w:r>
      <w:r>
        <w:rPr>
          <w:rFonts w:ascii="宋体" w:hAnsi="宋体" w:eastAsia="宋体"/>
          <w:szCs w:val="21"/>
        </w:rPr>
        <w:t>7×24小时”快速响应的紧急服务。</w:t>
      </w:r>
      <w:r>
        <w:rPr>
          <w:rFonts w:hint="eastAsia" w:ascii="宋体" w:hAnsi="宋体" w:eastAsia="宋体"/>
          <w:szCs w:val="21"/>
        </w:rPr>
        <w:t>我院</w:t>
      </w:r>
      <w:r>
        <w:rPr>
          <w:rFonts w:ascii="宋体" w:hAnsi="宋体" w:eastAsia="宋体"/>
          <w:szCs w:val="21"/>
        </w:rPr>
        <w:t>随时随地可立即得到本公司工程师的电话响应。一旦用户遇到紧急情况（如意外停机），本公司工程师会立即通过电话通知用户有关应急处理方法（如在线恢复、生产切换等），一方面与用户保持热线联系，另一方面安排工程师用最快的方式抵达现场进行紧急维护。</w:t>
      </w: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hint="eastAsia" w:ascii="宋体" w:hAnsi="宋体" w:eastAsia="宋体"/>
          <w:szCs w:val="21"/>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32E73"/>
    <w:multiLevelType w:val="multilevel"/>
    <w:tmpl w:val="13432E73"/>
    <w:lvl w:ilvl="0" w:tentative="0">
      <w:start w:val="1"/>
      <w:numFmt w:val="decimal"/>
      <w:lvlText w:val="3.%1、"/>
      <w:lvlJc w:val="left"/>
      <w:pPr>
        <w:ind w:left="420" w:hanging="420"/>
      </w:pPr>
      <w:rPr>
        <w:rFonts w:hint="eastAsia" w:eastAsia="微软雅黑"/>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075060"/>
    <w:multiLevelType w:val="multilevel"/>
    <w:tmpl w:val="28075060"/>
    <w:lvl w:ilvl="0" w:tentative="0">
      <w:start w:val="1"/>
      <w:numFmt w:val="decimal"/>
      <w:lvlText w:val="4.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523696"/>
    <w:multiLevelType w:val="multilevel"/>
    <w:tmpl w:val="2A523696"/>
    <w:lvl w:ilvl="0" w:tentative="0">
      <w:start w:val="1"/>
      <w:numFmt w:val="decimal"/>
      <w:lvlText w:val="%1）"/>
      <w:lvlJc w:val="left"/>
      <w:pPr>
        <w:ind w:left="804" w:hanging="324"/>
      </w:pPr>
      <w:rPr>
        <w:rFonts w:asciiTheme="minorHAnsi" w:hAnsiTheme="minorHAnsi" w:eastAsiaTheme="minorEastAsia" w:cstheme="minorBidi"/>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DCC1891"/>
    <w:multiLevelType w:val="multilevel"/>
    <w:tmpl w:val="2DCC1891"/>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122F5D"/>
    <w:multiLevelType w:val="multilevel"/>
    <w:tmpl w:val="31122F5D"/>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0F63AE"/>
    <w:multiLevelType w:val="multilevel"/>
    <w:tmpl w:val="380F63A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AD3D38"/>
    <w:multiLevelType w:val="multilevel"/>
    <w:tmpl w:val="4CAD3D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8735AFE"/>
    <w:multiLevelType w:val="multilevel"/>
    <w:tmpl w:val="68735A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ZWJhMTMxYWE3NjU5MWNmMWRkMjQxYTJmNGM5YzgifQ=="/>
  </w:docVars>
  <w:rsids>
    <w:rsidRoot w:val="007E2C97"/>
    <w:rsid w:val="00046A04"/>
    <w:rsid w:val="00060753"/>
    <w:rsid w:val="00135688"/>
    <w:rsid w:val="00137E61"/>
    <w:rsid w:val="00172D5F"/>
    <w:rsid w:val="001756D0"/>
    <w:rsid w:val="00186435"/>
    <w:rsid w:val="001C3606"/>
    <w:rsid w:val="0020652F"/>
    <w:rsid w:val="00207BFB"/>
    <w:rsid w:val="0024691D"/>
    <w:rsid w:val="00252842"/>
    <w:rsid w:val="00283CF2"/>
    <w:rsid w:val="002D2475"/>
    <w:rsid w:val="00334AC2"/>
    <w:rsid w:val="00383396"/>
    <w:rsid w:val="003858B4"/>
    <w:rsid w:val="00411487"/>
    <w:rsid w:val="0041188A"/>
    <w:rsid w:val="00452227"/>
    <w:rsid w:val="0049370A"/>
    <w:rsid w:val="004B7799"/>
    <w:rsid w:val="004C6D1A"/>
    <w:rsid w:val="00502484"/>
    <w:rsid w:val="00522961"/>
    <w:rsid w:val="005464C5"/>
    <w:rsid w:val="005D1285"/>
    <w:rsid w:val="006070FE"/>
    <w:rsid w:val="00610230"/>
    <w:rsid w:val="00632852"/>
    <w:rsid w:val="00664131"/>
    <w:rsid w:val="00682FFB"/>
    <w:rsid w:val="006C72B7"/>
    <w:rsid w:val="0075658A"/>
    <w:rsid w:val="00767279"/>
    <w:rsid w:val="007918A8"/>
    <w:rsid w:val="007E2C97"/>
    <w:rsid w:val="0081168B"/>
    <w:rsid w:val="008435B3"/>
    <w:rsid w:val="008A30E7"/>
    <w:rsid w:val="00956006"/>
    <w:rsid w:val="00966A92"/>
    <w:rsid w:val="0098430F"/>
    <w:rsid w:val="00990ABE"/>
    <w:rsid w:val="009A62A7"/>
    <w:rsid w:val="009B1FA9"/>
    <w:rsid w:val="009E6352"/>
    <w:rsid w:val="00A74982"/>
    <w:rsid w:val="00AA22A7"/>
    <w:rsid w:val="00AD2E52"/>
    <w:rsid w:val="00AF1B7A"/>
    <w:rsid w:val="00B11B4F"/>
    <w:rsid w:val="00B316CB"/>
    <w:rsid w:val="00B82CD0"/>
    <w:rsid w:val="00BE19C0"/>
    <w:rsid w:val="00C11CC1"/>
    <w:rsid w:val="00C84F7A"/>
    <w:rsid w:val="00CB3452"/>
    <w:rsid w:val="00D03270"/>
    <w:rsid w:val="00D1359F"/>
    <w:rsid w:val="00D54B11"/>
    <w:rsid w:val="00D8338A"/>
    <w:rsid w:val="00D84AC4"/>
    <w:rsid w:val="00DA302C"/>
    <w:rsid w:val="00DB6FD9"/>
    <w:rsid w:val="00DB6FDF"/>
    <w:rsid w:val="00DD2990"/>
    <w:rsid w:val="00DD5FE9"/>
    <w:rsid w:val="00E02B0D"/>
    <w:rsid w:val="00EF7130"/>
    <w:rsid w:val="21F63ED5"/>
    <w:rsid w:val="545B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4061</Words>
  <Characters>4420</Characters>
  <Lines>33</Lines>
  <Paragraphs>9</Paragraphs>
  <TotalTime>12</TotalTime>
  <ScaleCrop>false</ScaleCrop>
  <LinksUpToDate>false</LinksUpToDate>
  <CharactersWithSpaces>4454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2022-07-08T01:34:00Z</dcterms:created>
  <dc:creator>hailang</dc:creator>
  <cp:lastModifiedBy>热带雨林</cp:lastModifiedBy>
  <cp:lastPrinted>2022-03-04T01:53:00Z</cp:lastPrinted>
  <dcterms:modified xsi:type="dcterms:W3CDTF">2022-07-11T02:45:14Z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4532CDFCF00D4CFA90A0541312BBDF05</vt:lpwstr>
  </property>
</Properties>
</file>