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123AE">
      <w:pPr>
        <w:jc w:val="center"/>
        <w:rPr>
          <w:rFonts w:hint="eastAsia"/>
        </w:rPr>
      </w:pPr>
      <w:r>
        <w:rPr>
          <w:rFonts w:hint="eastAsia" w:ascii="黑体" w:hAnsi="黑体" w:eastAsia="黑体" w:cs="黑体"/>
          <w:sz w:val="32"/>
          <w:szCs w:val="32"/>
          <w:lang w:eastAsia="zh-CN"/>
        </w:rPr>
        <w:t>医疗安全（不良）事件系统升级调研</w:t>
      </w:r>
      <w:r>
        <w:rPr>
          <w:rFonts w:hint="eastAsia" w:ascii="黑体" w:hAnsi="黑体" w:eastAsia="黑体" w:cs="黑体"/>
          <w:sz w:val="32"/>
          <w:szCs w:val="32"/>
        </w:rPr>
        <w:t>需求</w:t>
      </w:r>
    </w:p>
    <w:p w14:paraId="315AB159">
      <w:pPr>
        <w:spacing w:line="400" w:lineRule="exact"/>
        <w:rPr>
          <w:rFonts w:hint="eastAsia" w:ascii="宋体" w:hAnsi="宋体"/>
          <w:sz w:val="21"/>
          <w:szCs w:val="21"/>
          <w:lang w:val="en-US" w:eastAsia="zh-CN"/>
        </w:rPr>
      </w:pPr>
      <w:r>
        <w:rPr>
          <w:rFonts w:hint="eastAsia" w:ascii="宋体" w:hAnsi="宋体"/>
          <w:sz w:val="21"/>
          <w:szCs w:val="21"/>
          <w:lang w:val="en-US" w:eastAsia="zh-CN"/>
        </w:rPr>
        <w:t>一、需求</w:t>
      </w:r>
    </w:p>
    <w:p w14:paraId="5DC0568B">
      <w:pPr>
        <w:suppressAutoHyphens/>
        <w:spacing w:before="163" w:beforeLines="50" w:after="163" w:afterLines="50"/>
        <w:ind w:firstLine="420" w:firstLineChars="200"/>
        <w:rPr>
          <w:rFonts w:cs="font337" w:asciiTheme="minorEastAsia" w:hAnsiTheme="minorEastAsia" w:eastAsiaTheme="minorEastAsia"/>
          <w:kern w:val="1"/>
          <w:szCs w:val="24"/>
        </w:rPr>
      </w:pPr>
      <w:r>
        <w:rPr>
          <w:rFonts w:cs="font337" w:asciiTheme="minorEastAsia" w:hAnsiTheme="minorEastAsia" w:eastAsiaTheme="minorEastAsia"/>
          <w:kern w:val="1"/>
          <w:szCs w:val="24"/>
          <w:lang w:eastAsia="ar-SA"/>
        </w:rPr>
        <w:t>医疗安全（不良）事件报告系统采用B/S架构，支持多用户多角色层级管理</w:t>
      </w:r>
      <w:r>
        <w:rPr>
          <w:rFonts w:hint="eastAsia" w:cs="font337" w:asciiTheme="minorEastAsia" w:hAnsiTheme="minorEastAsia" w:eastAsiaTheme="minorEastAsia"/>
          <w:kern w:val="1"/>
          <w:szCs w:val="24"/>
        </w:rPr>
        <w:t>;</w:t>
      </w:r>
      <w:r>
        <w:rPr>
          <w:rFonts w:cs="font337" w:asciiTheme="minorEastAsia" w:hAnsiTheme="minorEastAsia" w:eastAsiaTheme="minorEastAsia"/>
          <w:kern w:val="1"/>
          <w:szCs w:val="24"/>
          <w:lang w:eastAsia="ar-SA"/>
        </w:rPr>
        <w:t>设有事件上报（匿名实名均可）、流转审批、分级管理、</w:t>
      </w:r>
      <w:r>
        <w:rPr>
          <w:rFonts w:hint="eastAsia" w:cs="font337" w:asciiTheme="minorEastAsia" w:hAnsiTheme="minorEastAsia" w:eastAsiaTheme="minorEastAsia"/>
          <w:kern w:val="1"/>
          <w:szCs w:val="24"/>
        </w:rPr>
        <w:t>指标</w:t>
      </w:r>
      <w:r>
        <w:rPr>
          <w:rFonts w:cs="font337" w:asciiTheme="minorEastAsia" w:hAnsiTheme="minorEastAsia" w:eastAsiaTheme="minorEastAsia"/>
          <w:kern w:val="1"/>
          <w:szCs w:val="24"/>
          <w:lang w:eastAsia="ar-SA"/>
        </w:rPr>
        <w:t>统计、</w:t>
      </w:r>
      <w:r>
        <w:rPr>
          <w:rFonts w:hint="eastAsia" w:cs="font337" w:asciiTheme="minorEastAsia" w:hAnsiTheme="minorEastAsia" w:eastAsiaTheme="minorEastAsia"/>
          <w:kern w:val="1"/>
          <w:szCs w:val="24"/>
        </w:rPr>
        <w:t>数字提醒</w:t>
      </w:r>
      <w:r>
        <w:rPr>
          <w:rFonts w:cs="font337" w:asciiTheme="minorEastAsia" w:hAnsiTheme="minorEastAsia" w:eastAsiaTheme="minorEastAsia"/>
          <w:kern w:val="1"/>
          <w:szCs w:val="24"/>
          <w:lang w:eastAsia="ar-SA"/>
        </w:rPr>
        <w:t>、数据对接等功能</w:t>
      </w:r>
      <w:r>
        <w:rPr>
          <w:rFonts w:hint="eastAsia" w:cs="font337" w:asciiTheme="minorEastAsia" w:hAnsiTheme="minorEastAsia" w:eastAsiaTheme="minorEastAsia"/>
          <w:kern w:val="1"/>
          <w:szCs w:val="24"/>
        </w:rPr>
        <w:t>;</w:t>
      </w:r>
      <w:r>
        <w:rPr>
          <w:rFonts w:cs="font337" w:asciiTheme="minorEastAsia" w:hAnsiTheme="minorEastAsia" w:eastAsiaTheme="minorEastAsia"/>
          <w:kern w:val="1"/>
          <w:szCs w:val="24"/>
          <w:lang w:eastAsia="ar-SA"/>
        </w:rPr>
        <w:t>采用多种</w:t>
      </w:r>
      <w:r>
        <w:rPr>
          <w:rFonts w:hint="eastAsia" w:cs="font337" w:asciiTheme="minorEastAsia" w:hAnsiTheme="minorEastAsia" w:eastAsiaTheme="minorEastAsia"/>
          <w:kern w:val="1"/>
          <w:szCs w:val="24"/>
        </w:rPr>
        <w:t>功能</w:t>
      </w:r>
      <w:r>
        <w:rPr>
          <w:rFonts w:cs="font337" w:asciiTheme="minorEastAsia" w:hAnsiTheme="minorEastAsia" w:eastAsiaTheme="minorEastAsia"/>
          <w:kern w:val="1"/>
          <w:szCs w:val="24"/>
          <w:lang w:eastAsia="ar-SA"/>
        </w:rPr>
        <w:t>自定义，支持全过程分级管理和事件追踪闭环管理</w:t>
      </w:r>
      <w:r>
        <w:rPr>
          <w:rFonts w:hint="eastAsia" w:cs="font337" w:asciiTheme="minorEastAsia" w:hAnsiTheme="minorEastAsia" w:eastAsiaTheme="minorEastAsia"/>
          <w:kern w:val="1"/>
          <w:szCs w:val="24"/>
        </w:rPr>
        <w:t>;</w:t>
      </w:r>
      <w:r>
        <w:rPr>
          <w:rFonts w:cs="font337" w:asciiTheme="minorEastAsia" w:hAnsiTheme="minorEastAsia" w:eastAsiaTheme="minorEastAsia"/>
          <w:kern w:val="1"/>
          <w:szCs w:val="24"/>
          <w:lang w:eastAsia="ar-SA"/>
        </w:rPr>
        <w:t>支持医院安全不良事件的深度分析和效果追踪，自动生成多种统计图表和分析报告，并可导出pdf</w:t>
      </w:r>
      <w:r>
        <w:rPr>
          <w:rFonts w:hint="eastAsia" w:cs="font337" w:asciiTheme="minorEastAsia" w:hAnsiTheme="minorEastAsia" w:eastAsiaTheme="minorEastAsia"/>
          <w:kern w:val="1"/>
          <w:szCs w:val="24"/>
        </w:rPr>
        <w:t>、word</w:t>
      </w:r>
      <w:r>
        <w:rPr>
          <w:rFonts w:cs="font337" w:asciiTheme="minorEastAsia" w:hAnsiTheme="minorEastAsia" w:eastAsiaTheme="minorEastAsia"/>
          <w:kern w:val="1"/>
          <w:szCs w:val="24"/>
          <w:lang w:eastAsia="ar-SA"/>
        </w:rPr>
        <w:t>文档</w:t>
      </w:r>
      <w:r>
        <w:rPr>
          <w:rFonts w:hint="eastAsia" w:cs="font337" w:asciiTheme="minorEastAsia" w:hAnsiTheme="minorEastAsia" w:eastAsiaTheme="minorEastAsia"/>
          <w:kern w:val="1"/>
          <w:szCs w:val="24"/>
        </w:rPr>
        <w:t>;</w:t>
      </w:r>
      <w:r>
        <w:rPr>
          <w:rFonts w:cs="font337" w:asciiTheme="minorEastAsia" w:hAnsiTheme="minorEastAsia" w:eastAsiaTheme="minorEastAsia"/>
          <w:kern w:val="1"/>
          <w:szCs w:val="24"/>
          <w:lang w:eastAsia="ar-SA"/>
        </w:rPr>
        <w:t>支持医院安全不良事件高效智能填报</w:t>
      </w:r>
      <w:r>
        <w:rPr>
          <w:rFonts w:hint="eastAsia" w:cs="font337" w:asciiTheme="minorEastAsia" w:hAnsiTheme="minorEastAsia" w:eastAsiaTheme="minorEastAsia"/>
          <w:kern w:val="1"/>
          <w:szCs w:val="24"/>
        </w:rPr>
        <w:t>。</w:t>
      </w:r>
    </w:p>
    <w:p w14:paraId="46CB54C0">
      <w:pPr>
        <w:spacing w:line="400" w:lineRule="exact"/>
        <w:rPr>
          <w:rFonts w:hint="eastAsia" w:ascii="宋体" w:hAnsi="宋体"/>
          <w:sz w:val="21"/>
          <w:szCs w:val="21"/>
          <w:lang w:val="en-US" w:eastAsia="zh-CN"/>
        </w:rPr>
      </w:pPr>
      <w:r>
        <w:rPr>
          <w:rFonts w:hint="eastAsia" w:ascii="宋体" w:hAnsi="宋体"/>
          <w:sz w:val="21"/>
          <w:szCs w:val="21"/>
          <w:lang w:val="en-US" w:eastAsia="zh-CN"/>
        </w:rPr>
        <w:t>二、功能模块清单：</w:t>
      </w:r>
    </w:p>
    <w:tbl>
      <w:tblPr>
        <w:tblStyle w:val="4"/>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0"/>
        <w:gridCol w:w="4490"/>
      </w:tblGrid>
      <w:tr w14:paraId="24AD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4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362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工作场景</w:t>
            </w:r>
          </w:p>
        </w:tc>
        <w:tc>
          <w:tcPr>
            <w:tcW w:w="4490" w:type="dxa"/>
            <w:tcBorders>
              <w:top w:val="single" w:color="000000" w:sz="8" w:space="0"/>
              <w:left w:val="nil"/>
              <w:bottom w:val="single" w:color="000000" w:sz="8" w:space="0"/>
              <w:right w:val="single" w:color="000000" w:sz="8" w:space="0"/>
            </w:tcBorders>
            <w:shd w:val="clear" w:color="auto" w:fill="auto"/>
            <w:vAlign w:val="center"/>
          </w:tcPr>
          <w:p w14:paraId="39659F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一级功能</w:t>
            </w:r>
          </w:p>
        </w:tc>
      </w:tr>
      <w:tr w14:paraId="2552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490" w:type="dxa"/>
            <w:vMerge w:val="restart"/>
            <w:tcBorders>
              <w:top w:val="nil"/>
              <w:left w:val="single" w:color="000000" w:sz="8" w:space="0"/>
              <w:bottom w:val="nil"/>
              <w:right w:val="single" w:color="000000" w:sz="8" w:space="0"/>
            </w:tcBorders>
            <w:shd w:val="clear" w:color="auto" w:fill="auto"/>
            <w:vAlign w:val="center"/>
          </w:tcPr>
          <w:p w14:paraId="7B19B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PC端</w:t>
            </w:r>
          </w:p>
        </w:tc>
        <w:tc>
          <w:tcPr>
            <w:tcW w:w="44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84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工作台</w:t>
            </w:r>
          </w:p>
        </w:tc>
      </w:tr>
      <w:tr w14:paraId="4C98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490" w:type="dxa"/>
            <w:vMerge w:val="continue"/>
            <w:tcBorders>
              <w:top w:val="nil"/>
              <w:left w:val="single" w:color="000000" w:sz="8" w:space="0"/>
              <w:bottom w:val="nil"/>
              <w:right w:val="single" w:color="000000" w:sz="8" w:space="0"/>
            </w:tcBorders>
            <w:shd w:val="clear" w:color="auto" w:fill="auto"/>
            <w:vAlign w:val="center"/>
          </w:tcPr>
          <w:p w14:paraId="18179720">
            <w:pPr>
              <w:jc w:val="center"/>
              <w:rPr>
                <w:rFonts w:hint="eastAsia" w:ascii="宋体" w:hAnsi="宋体" w:eastAsia="宋体" w:cs="宋体"/>
                <w:i w:val="0"/>
                <w:iCs w:val="0"/>
                <w:color w:val="000000"/>
                <w:sz w:val="21"/>
                <w:szCs w:val="21"/>
                <w:u w:val="none"/>
              </w:rPr>
            </w:pPr>
          </w:p>
        </w:tc>
        <w:tc>
          <w:tcPr>
            <w:tcW w:w="44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AB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事件上报</w:t>
            </w:r>
          </w:p>
        </w:tc>
      </w:tr>
      <w:tr w14:paraId="5FD1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490" w:type="dxa"/>
            <w:vMerge w:val="continue"/>
            <w:tcBorders>
              <w:top w:val="nil"/>
              <w:left w:val="single" w:color="000000" w:sz="8" w:space="0"/>
              <w:bottom w:val="nil"/>
              <w:right w:val="single" w:color="000000" w:sz="8" w:space="0"/>
            </w:tcBorders>
            <w:shd w:val="clear" w:color="auto" w:fill="auto"/>
            <w:vAlign w:val="center"/>
          </w:tcPr>
          <w:p w14:paraId="79E84DEC">
            <w:pPr>
              <w:jc w:val="center"/>
              <w:rPr>
                <w:rFonts w:hint="eastAsia" w:ascii="宋体" w:hAnsi="宋体" w:eastAsia="宋体" w:cs="宋体"/>
                <w:i w:val="0"/>
                <w:iCs w:val="0"/>
                <w:color w:val="000000"/>
                <w:sz w:val="21"/>
                <w:szCs w:val="21"/>
                <w:u w:val="none"/>
              </w:rPr>
            </w:pPr>
          </w:p>
        </w:tc>
        <w:tc>
          <w:tcPr>
            <w:tcW w:w="44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2A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事件管理</w:t>
            </w:r>
          </w:p>
        </w:tc>
      </w:tr>
      <w:tr w14:paraId="40E1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490" w:type="dxa"/>
            <w:vMerge w:val="continue"/>
            <w:tcBorders>
              <w:top w:val="nil"/>
              <w:left w:val="single" w:color="000000" w:sz="8" w:space="0"/>
              <w:bottom w:val="nil"/>
              <w:right w:val="single" w:color="000000" w:sz="8" w:space="0"/>
            </w:tcBorders>
            <w:shd w:val="clear" w:color="auto" w:fill="auto"/>
            <w:vAlign w:val="center"/>
          </w:tcPr>
          <w:p w14:paraId="72180FC5">
            <w:pPr>
              <w:jc w:val="center"/>
              <w:rPr>
                <w:rFonts w:hint="eastAsia" w:ascii="宋体" w:hAnsi="宋体" w:eastAsia="宋体" w:cs="宋体"/>
                <w:i w:val="0"/>
                <w:iCs w:val="0"/>
                <w:color w:val="000000"/>
                <w:sz w:val="21"/>
                <w:szCs w:val="21"/>
                <w:u w:val="none"/>
              </w:rPr>
            </w:pPr>
          </w:p>
        </w:tc>
        <w:tc>
          <w:tcPr>
            <w:tcW w:w="44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57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统计分析</w:t>
            </w:r>
          </w:p>
        </w:tc>
      </w:tr>
      <w:tr w14:paraId="0454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490" w:type="dxa"/>
            <w:vMerge w:val="continue"/>
            <w:tcBorders>
              <w:top w:val="nil"/>
              <w:left w:val="single" w:color="000000" w:sz="8" w:space="0"/>
              <w:bottom w:val="nil"/>
              <w:right w:val="single" w:color="000000" w:sz="8" w:space="0"/>
            </w:tcBorders>
            <w:shd w:val="clear" w:color="auto" w:fill="auto"/>
            <w:vAlign w:val="center"/>
          </w:tcPr>
          <w:p w14:paraId="43B71495">
            <w:pPr>
              <w:jc w:val="center"/>
              <w:rPr>
                <w:rFonts w:hint="eastAsia" w:ascii="宋体" w:hAnsi="宋体" w:eastAsia="宋体" w:cs="宋体"/>
                <w:i w:val="0"/>
                <w:iCs w:val="0"/>
                <w:color w:val="000000"/>
                <w:sz w:val="21"/>
                <w:szCs w:val="21"/>
                <w:u w:val="none"/>
              </w:rPr>
            </w:pPr>
          </w:p>
        </w:tc>
        <w:tc>
          <w:tcPr>
            <w:tcW w:w="44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83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设计器</w:t>
            </w:r>
          </w:p>
        </w:tc>
      </w:tr>
      <w:tr w14:paraId="1139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490" w:type="dxa"/>
            <w:vMerge w:val="continue"/>
            <w:tcBorders>
              <w:top w:val="nil"/>
              <w:left w:val="single" w:color="000000" w:sz="8" w:space="0"/>
              <w:bottom w:val="nil"/>
              <w:right w:val="single" w:color="000000" w:sz="8" w:space="0"/>
            </w:tcBorders>
            <w:shd w:val="clear" w:color="auto" w:fill="auto"/>
            <w:vAlign w:val="center"/>
          </w:tcPr>
          <w:p w14:paraId="415A43C9">
            <w:pPr>
              <w:jc w:val="center"/>
              <w:rPr>
                <w:rFonts w:hint="eastAsia" w:ascii="宋体" w:hAnsi="宋体" w:eastAsia="宋体" w:cs="宋体"/>
                <w:i w:val="0"/>
                <w:iCs w:val="0"/>
                <w:color w:val="000000"/>
                <w:sz w:val="21"/>
                <w:szCs w:val="21"/>
                <w:u w:val="none"/>
              </w:rPr>
            </w:pPr>
          </w:p>
        </w:tc>
        <w:tc>
          <w:tcPr>
            <w:tcW w:w="44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64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系统管理</w:t>
            </w:r>
          </w:p>
        </w:tc>
      </w:tr>
      <w:tr w14:paraId="090C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490" w:type="dxa"/>
            <w:vMerge w:val="continue"/>
            <w:tcBorders>
              <w:top w:val="nil"/>
              <w:left w:val="single" w:color="000000" w:sz="8" w:space="0"/>
              <w:bottom w:val="nil"/>
              <w:right w:val="single" w:color="000000" w:sz="8" w:space="0"/>
            </w:tcBorders>
            <w:shd w:val="clear" w:color="auto" w:fill="auto"/>
            <w:vAlign w:val="center"/>
          </w:tcPr>
          <w:p w14:paraId="2C096E32">
            <w:pPr>
              <w:jc w:val="center"/>
              <w:rPr>
                <w:rFonts w:hint="eastAsia" w:ascii="宋体" w:hAnsi="宋体" w:eastAsia="宋体" w:cs="宋体"/>
                <w:i w:val="0"/>
                <w:iCs w:val="0"/>
                <w:color w:val="000000"/>
                <w:sz w:val="21"/>
                <w:szCs w:val="21"/>
                <w:u w:val="none"/>
              </w:rPr>
            </w:pPr>
          </w:p>
        </w:tc>
        <w:tc>
          <w:tcPr>
            <w:tcW w:w="44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C2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w:t>
            </w:r>
          </w:p>
        </w:tc>
      </w:tr>
      <w:tr w14:paraId="2DF7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490" w:type="dxa"/>
            <w:vMerge w:val="continue"/>
            <w:tcBorders>
              <w:top w:val="nil"/>
              <w:left w:val="single" w:color="000000" w:sz="8" w:space="0"/>
              <w:bottom w:val="nil"/>
              <w:right w:val="single" w:color="000000" w:sz="8" w:space="0"/>
            </w:tcBorders>
            <w:shd w:val="clear" w:color="auto" w:fill="auto"/>
            <w:vAlign w:val="center"/>
          </w:tcPr>
          <w:p w14:paraId="7B64AEF1">
            <w:pPr>
              <w:jc w:val="center"/>
              <w:rPr>
                <w:rFonts w:hint="eastAsia" w:ascii="宋体" w:hAnsi="宋体" w:eastAsia="宋体" w:cs="宋体"/>
                <w:i w:val="0"/>
                <w:iCs w:val="0"/>
                <w:color w:val="000000"/>
                <w:sz w:val="21"/>
                <w:szCs w:val="21"/>
                <w:u w:val="none"/>
              </w:rPr>
            </w:pPr>
          </w:p>
        </w:tc>
        <w:tc>
          <w:tcPr>
            <w:tcW w:w="44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B0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数据对接</w:t>
            </w:r>
          </w:p>
        </w:tc>
      </w:tr>
      <w:tr w14:paraId="765D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4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2E5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基于企业微信/钉钉的移动端应用</w:t>
            </w:r>
          </w:p>
        </w:tc>
        <w:tc>
          <w:tcPr>
            <w:tcW w:w="44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67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工作台</w:t>
            </w:r>
          </w:p>
        </w:tc>
      </w:tr>
      <w:tr w14:paraId="0FA0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4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64A662">
            <w:pPr>
              <w:jc w:val="center"/>
              <w:rPr>
                <w:rFonts w:hint="eastAsia" w:ascii="宋体" w:hAnsi="宋体" w:eastAsia="宋体" w:cs="宋体"/>
                <w:i w:val="0"/>
                <w:iCs w:val="0"/>
                <w:color w:val="000000"/>
                <w:sz w:val="21"/>
                <w:szCs w:val="21"/>
                <w:u w:val="none"/>
              </w:rPr>
            </w:pPr>
          </w:p>
        </w:tc>
        <w:tc>
          <w:tcPr>
            <w:tcW w:w="44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A9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个人中心</w:t>
            </w:r>
          </w:p>
        </w:tc>
      </w:tr>
      <w:tr w14:paraId="0D1F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4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3115EE">
            <w:pPr>
              <w:jc w:val="center"/>
              <w:rPr>
                <w:rFonts w:hint="eastAsia" w:ascii="宋体" w:hAnsi="宋体" w:eastAsia="宋体" w:cs="宋体"/>
                <w:i w:val="0"/>
                <w:iCs w:val="0"/>
                <w:color w:val="000000"/>
                <w:sz w:val="21"/>
                <w:szCs w:val="21"/>
                <w:u w:val="none"/>
              </w:rPr>
            </w:pPr>
          </w:p>
        </w:tc>
        <w:tc>
          <w:tcPr>
            <w:tcW w:w="44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B8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消息推送</w:t>
            </w:r>
          </w:p>
        </w:tc>
      </w:tr>
      <w:tr w14:paraId="7350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4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E7384B">
            <w:pPr>
              <w:jc w:val="center"/>
              <w:rPr>
                <w:rFonts w:hint="eastAsia" w:ascii="宋体" w:hAnsi="宋体" w:eastAsia="宋体" w:cs="宋体"/>
                <w:i w:val="0"/>
                <w:iCs w:val="0"/>
                <w:color w:val="000000"/>
                <w:sz w:val="21"/>
                <w:szCs w:val="21"/>
                <w:u w:val="none"/>
              </w:rPr>
            </w:pPr>
          </w:p>
        </w:tc>
        <w:tc>
          <w:tcPr>
            <w:tcW w:w="44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B3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钉钉/企业微信免登录</w:t>
            </w:r>
          </w:p>
        </w:tc>
      </w:tr>
      <w:tr w14:paraId="55A6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44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5BF5A">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其他</w:t>
            </w:r>
          </w:p>
        </w:tc>
        <w:tc>
          <w:tcPr>
            <w:tcW w:w="44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8E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满足信创建设</w:t>
            </w:r>
          </w:p>
        </w:tc>
      </w:tr>
    </w:tbl>
    <w:p w14:paraId="0DE70670">
      <w:pPr>
        <w:spacing w:line="400" w:lineRule="exact"/>
        <w:rPr>
          <w:rFonts w:hint="eastAsia" w:ascii="宋体" w:hAnsi="宋体"/>
          <w:sz w:val="21"/>
          <w:szCs w:val="21"/>
          <w:lang w:val="en-US" w:eastAsia="zh-CN"/>
        </w:rPr>
      </w:pPr>
      <w:r>
        <w:rPr>
          <w:rFonts w:hint="eastAsia" w:ascii="宋体" w:hAnsi="宋体"/>
          <w:sz w:val="21"/>
          <w:szCs w:val="21"/>
          <w:lang w:val="en-US" w:eastAsia="zh-CN"/>
        </w:rPr>
        <w:t>三、保修与其他</w:t>
      </w:r>
    </w:p>
    <w:p w14:paraId="2D60D22F">
      <w:pPr>
        <w:spacing w:line="400" w:lineRule="exact"/>
        <w:rPr>
          <w:rFonts w:hint="default" w:ascii="宋体" w:hAnsi="宋体"/>
          <w:sz w:val="21"/>
          <w:szCs w:val="21"/>
          <w:lang w:val="en-US" w:eastAsia="zh-CN"/>
        </w:rPr>
      </w:pPr>
      <w:r>
        <w:rPr>
          <w:rFonts w:hint="eastAsia" w:ascii="宋体" w:hAnsi="宋体"/>
          <w:sz w:val="21"/>
          <w:szCs w:val="21"/>
          <w:lang w:val="en-US" w:eastAsia="zh-CN"/>
        </w:rPr>
        <w:t>1、项目软件为3年免费维保期，维保期</w:t>
      </w:r>
      <w:bookmarkStart w:id="0" w:name="_GoBack"/>
      <w:bookmarkEnd w:id="0"/>
      <w:r>
        <w:rPr>
          <w:rFonts w:hint="eastAsia" w:ascii="宋体" w:hAnsi="宋体"/>
          <w:sz w:val="21"/>
          <w:szCs w:val="21"/>
          <w:lang w:val="en-US" w:eastAsia="zh-CN"/>
        </w:rPr>
        <w:t>后的维保价格不高于6%。</w:t>
      </w:r>
    </w:p>
    <w:p w14:paraId="74A2D412">
      <w:pPr>
        <w:spacing w:line="400" w:lineRule="exact"/>
        <w:rPr>
          <w:rFonts w:hint="eastAsia" w:ascii="宋体" w:hAnsi="宋体"/>
          <w:sz w:val="21"/>
          <w:szCs w:val="21"/>
          <w:lang w:val="en-US" w:eastAsia="zh-CN"/>
        </w:rPr>
      </w:pPr>
      <w:r>
        <w:rPr>
          <w:rFonts w:hint="eastAsia" w:ascii="宋体" w:hAnsi="宋体"/>
          <w:sz w:val="21"/>
          <w:szCs w:val="21"/>
          <w:lang w:val="en-US" w:eastAsia="zh-CN"/>
        </w:rPr>
        <w:t>2、免费维护保养服务期间，出现故障30分钟内响应、一般故障8小时内解决维修问题，重大事故不超过24小时。维修要更换模块等配件的，不超过24小时。维修完成后，确保故障解决。</w:t>
      </w:r>
    </w:p>
    <w:p w14:paraId="370F0C83">
      <w:pPr>
        <w:spacing w:line="400" w:lineRule="exact"/>
        <w:rPr>
          <w:rFonts w:hint="default" w:ascii="宋体" w:hAnsi="宋体"/>
          <w:sz w:val="21"/>
          <w:szCs w:val="21"/>
          <w:lang w:val="en-US" w:eastAsia="zh-CN"/>
        </w:rPr>
      </w:pPr>
      <w:r>
        <w:rPr>
          <w:rFonts w:hint="eastAsia" w:ascii="宋体" w:hAnsi="宋体"/>
          <w:sz w:val="21"/>
          <w:szCs w:val="21"/>
          <w:lang w:val="en-US" w:eastAsia="zh-CN"/>
        </w:rPr>
        <w:t>3、提供不限次数的全免费保障服务；计划或临时性的重大活动前必须配合用户进行应急预演并在重大活动现场按需增派人员进行技术保障。</w:t>
      </w:r>
    </w:p>
    <w:p w14:paraId="501358E8">
      <w:pPr>
        <w:rPr>
          <w:rFonts w:hint="eastAsia"/>
          <w:lang w:eastAsia="zh-CN"/>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ont337">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GM3MjRhNmZlNDkxZWY3OTVjOWI5Zjg4MzVhZGMifQ=="/>
  </w:docVars>
  <w:rsids>
    <w:rsidRoot w:val="00000000"/>
    <w:rsid w:val="03D478E4"/>
    <w:rsid w:val="231B319B"/>
    <w:rsid w:val="2BEE5F40"/>
    <w:rsid w:val="43336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line="360" w:lineRule="exact"/>
      <w:ind w:left="420" w:firstLine="1188"/>
    </w:pPr>
    <w:rPr>
      <w:rFonts w:ascii="Times New Roman" w:hAnsi="Times New Roman" w:cs="Times New Roman"/>
    </w:rPr>
  </w:style>
  <w:style w:type="paragraph" w:styleId="3">
    <w:name w:val="Body Text First Indent 2"/>
    <w:basedOn w:val="2"/>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456</Words>
  <Characters>468</Characters>
  <Lines>0</Lines>
  <Paragraphs>0</Paragraphs>
  <TotalTime>11</TotalTime>
  <ScaleCrop>false</ScaleCrop>
  <LinksUpToDate>false</LinksUpToDate>
  <CharactersWithSpaces>468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2024-11-06T02:43:00Z</dcterms:created>
  <dc:creator>Administrator</dc:creator>
  <cp:lastModifiedBy>刘永琴</cp:lastModifiedBy>
  <dcterms:modified xsi:type="dcterms:W3CDTF">2024-11-07T03:09:59Z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BDC41D7E092B4CBCA2B54B5E8520DE37_12</vt:lpwstr>
  </property>
</Properties>
</file>