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F123AE">
      <w:pPr>
        <w:jc w:val="center"/>
        <w:rPr>
          <w:rFonts w:hint="eastAsia" w:ascii="宋体" w:hAnsi="宋体" w:eastAsia="宋体"/>
          <w:b/>
          <w:bCs/>
          <w:sz w:val="30"/>
          <w:szCs w:val="30"/>
        </w:rPr>
      </w:pPr>
      <w:r>
        <w:rPr>
          <w:rFonts w:hint="eastAsia" w:ascii="宋体" w:hAnsi="宋体" w:eastAsia="宋体" w:cs="黑体"/>
          <w:b/>
          <w:bCs/>
          <w:sz w:val="30"/>
          <w:szCs w:val="30"/>
        </w:rPr>
        <w:t>人力资源管理系统调研需求</w:t>
      </w:r>
    </w:p>
    <w:p w14:paraId="315AB159">
      <w:pPr>
        <w:pStyle w:val="7"/>
        <w:jc w:val="left"/>
        <w:rPr>
          <w:sz w:val="28"/>
          <w:szCs w:val="28"/>
        </w:rPr>
      </w:pPr>
      <w:r>
        <w:rPr>
          <w:rFonts w:hint="eastAsia"/>
          <w:sz w:val="28"/>
          <w:szCs w:val="28"/>
        </w:rPr>
        <w:t>一、需求</w:t>
      </w:r>
    </w:p>
    <w:p w14:paraId="0B434491">
      <w:pPr>
        <w:spacing w:line="360" w:lineRule="auto"/>
        <w:ind w:firstLine="480" w:firstLineChars="200"/>
        <w:rPr>
          <w:rFonts w:hint="eastAsia" w:ascii="宋体" w:hAnsi="宋体" w:eastAsia="宋体" w:cs="font337"/>
          <w:kern w:val="1"/>
          <w:sz w:val="24"/>
        </w:rPr>
      </w:pPr>
      <w:r>
        <w:rPr>
          <w:rFonts w:hint="eastAsia" w:ascii="宋体" w:hAnsi="宋体" w:eastAsia="宋体" w:cs="font337"/>
          <w:kern w:val="1"/>
          <w:sz w:val="24"/>
        </w:rPr>
        <w:t>本项目为</w:t>
      </w:r>
      <w:r>
        <w:rPr>
          <w:rFonts w:hint="eastAsia" w:ascii="宋体" w:hAnsi="宋体" w:eastAsia="宋体" w:cs="font337"/>
          <w:kern w:val="1"/>
          <w:sz w:val="24"/>
          <w:lang w:eastAsia="ar-SA"/>
        </w:rPr>
        <w:t>实现人事流程线上化，事务处理效率提升30%以上；构建数据分析模型辅助人才决策；推动人事管理向战略型转变。</w:t>
      </w:r>
    </w:p>
    <w:p w14:paraId="7D6A5126">
      <w:pPr>
        <w:spacing w:line="360" w:lineRule="auto"/>
        <w:ind w:firstLine="480" w:firstLineChars="200"/>
        <w:rPr>
          <w:rFonts w:hint="eastAsia" w:ascii="宋体" w:hAnsi="宋体" w:eastAsia="宋体"/>
          <w:sz w:val="24"/>
          <w:lang w:eastAsia="ar-SA"/>
        </w:rPr>
      </w:pPr>
      <w:r>
        <w:rPr>
          <w:rFonts w:hint="eastAsia" w:ascii="宋体" w:hAnsi="宋体" w:eastAsia="宋体" w:cs="font337"/>
          <w:kern w:val="1"/>
          <w:sz w:val="24"/>
          <w:lang w:eastAsia="ar-SA"/>
        </w:rPr>
        <w:t>建设内容：涵盖组织机构</w:t>
      </w:r>
      <w:r>
        <w:rPr>
          <w:rFonts w:hint="eastAsia" w:ascii="宋体" w:hAnsi="宋体" w:eastAsia="宋体" w:cs="font337"/>
          <w:kern w:val="1"/>
          <w:sz w:val="24"/>
        </w:rPr>
        <w:t>管理</w:t>
      </w:r>
      <w:r>
        <w:rPr>
          <w:rFonts w:hint="eastAsia" w:ascii="宋体" w:hAnsi="宋体" w:eastAsia="宋体" w:cs="font337"/>
          <w:kern w:val="1"/>
          <w:sz w:val="24"/>
          <w:lang w:eastAsia="ar-SA"/>
        </w:rPr>
        <w:t>、</w:t>
      </w:r>
      <w:r>
        <w:rPr>
          <w:rFonts w:hint="eastAsia" w:ascii="宋体" w:hAnsi="宋体" w:eastAsia="宋体" w:cs="font337"/>
          <w:kern w:val="1"/>
          <w:sz w:val="24"/>
        </w:rPr>
        <w:t>编制管理、</w:t>
      </w:r>
      <w:r>
        <w:rPr>
          <w:rFonts w:hint="eastAsia" w:ascii="宋体" w:hAnsi="宋体" w:eastAsia="宋体" w:cs="font337"/>
          <w:kern w:val="1"/>
          <w:sz w:val="24"/>
          <w:lang w:eastAsia="ar-SA"/>
        </w:rPr>
        <w:t>岗位管理、</w:t>
      </w:r>
      <w:r>
        <w:rPr>
          <w:rFonts w:hint="eastAsia" w:ascii="宋体" w:hAnsi="宋体" w:eastAsia="宋体" w:cs="font337"/>
          <w:kern w:val="1"/>
          <w:sz w:val="24"/>
        </w:rPr>
        <w:t>员工管理</w:t>
      </w:r>
      <w:r>
        <w:rPr>
          <w:rFonts w:hint="eastAsia" w:ascii="宋体" w:hAnsi="宋体" w:eastAsia="宋体" w:cs="font337"/>
          <w:kern w:val="1"/>
          <w:sz w:val="24"/>
          <w:lang w:eastAsia="ar-SA"/>
        </w:rPr>
        <w:t>、</w:t>
      </w:r>
      <w:r>
        <w:rPr>
          <w:rFonts w:hint="eastAsia" w:ascii="宋体" w:hAnsi="宋体" w:eastAsia="宋体" w:cs="font337"/>
          <w:kern w:val="1"/>
          <w:sz w:val="24"/>
        </w:rPr>
        <w:t>预警管理、人事异动、报表管理、</w:t>
      </w:r>
      <w:r>
        <w:rPr>
          <w:rFonts w:hint="eastAsia" w:ascii="宋体" w:hAnsi="宋体" w:eastAsia="宋体"/>
          <w:sz w:val="24"/>
        </w:rPr>
        <w:t>表格设计工具与流程设计器、流程管理、</w:t>
      </w:r>
      <w:r>
        <w:rPr>
          <w:rFonts w:hint="eastAsia" w:ascii="宋体" w:hAnsi="宋体" w:eastAsia="宋体" w:cs="font337"/>
          <w:kern w:val="1"/>
          <w:sz w:val="24"/>
          <w:lang w:eastAsia="ar-SA"/>
        </w:rPr>
        <w:t>合同</w:t>
      </w:r>
      <w:r>
        <w:rPr>
          <w:rFonts w:hint="eastAsia" w:ascii="宋体" w:hAnsi="宋体" w:eastAsia="宋体" w:cs="font337"/>
          <w:kern w:val="1"/>
          <w:sz w:val="24"/>
        </w:rPr>
        <w:t>管理</w:t>
      </w:r>
      <w:r>
        <w:rPr>
          <w:rFonts w:hint="eastAsia" w:ascii="宋体" w:hAnsi="宋体" w:eastAsia="宋体" w:cs="font337"/>
          <w:kern w:val="1"/>
          <w:sz w:val="24"/>
          <w:lang w:eastAsia="ar-SA"/>
        </w:rPr>
        <w:t>、</w:t>
      </w:r>
      <w:r>
        <w:rPr>
          <w:rFonts w:hint="eastAsia" w:ascii="宋体" w:hAnsi="宋体" w:eastAsia="宋体"/>
          <w:sz w:val="24"/>
          <w:lang w:eastAsia="ar-SA"/>
        </w:rPr>
        <w:t>薪资保险</w:t>
      </w:r>
      <w:r>
        <w:rPr>
          <w:rFonts w:hint="eastAsia" w:ascii="宋体" w:hAnsi="宋体" w:eastAsia="宋体"/>
          <w:sz w:val="24"/>
        </w:rPr>
        <w:t>管理</w:t>
      </w:r>
      <w:r>
        <w:rPr>
          <w:rFonts w:hint="eastAsia" w:ascii="宋体" w:hAnsi="宋体" w:eastAsia="宋体"/>
          <w:sz w:val="24"/>
          <w:lang w:eastAsia="ar-SA"/>
        </w:rPr>
        <w:t>、考勤</w:t>
      </w:r>
      <w:r>
        <w:rPr>
          <w:rFonts w:hint="eastAsia" w:ascii="宋体" w:hAnsi="宋体" w:eastAsia="宋体"/>
          <w:sz w:val="24"/>
        </w:rPr>
        <w:t>管理</w:t>
      </w:r>
      <w:r>
        <w:rPr>
          <w:rFonts w:hint="eastAsia" w:ascii="宋体" w:hAnsi="宋体" w:eastAsia="宋体"/>
          <w:sz w:val="24"/>
          <w:lang w:eastAsia="ar-SA"/>
        </w:rPr>
        <w:t>、</w:t>
      </w:r>
      <w:r>
        <w:rPr>
          <w:rFonts w:hint="eastAsia" w:ascii="宋体" w:hAnsi="宋体" w:eastAsia="宋体"/>
          <w:sz w:val="24"/>
        </w:rPr>
        <w:t>职称管理、人才管理、员工共享服务中心、移动应用</w:t>
      </w:r>
      <w:r>
        <w:rPr>
          <w:rFonts w:hint="eastAsia" w:ascii="宋体" w:hAnsi="宋体" w:eastAsia="宋体"/>
          <w:sz w:val="24"/>
          <w:lang w:eastAsia="ar-SA"/>
        </w:rPr>
        <w:t>。</w:t>
      </w:r>
    </w:p>
    <w:p w14:paraId="46CB54C0">
      <w:pPr>
        <w:pStyle w:val="7"/>
        <w:jc w:val="left"/>
        <w:rPr>
          <w:sz w:val="28"/>
          <w:szCs w:val="28"/>
        </w:rPr>
      </w:pPr>
      <w:r>
        <w:rPr>
          <w:rFonts w:hint="eastAsia"/>
          <w:sz w:val="28"/>
          <w:szCs w:val="28"/>
        </w:rPr>
        <w:t>二、功能模块清单</w:t>
      </w:r>
    </w:p>
    <w:tbl>
      <w:tblPr>
        <w:tblStyle w:val="9"/>
        <w:tblW w:w="9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25"/>
        <w:gridCol w:w="7513"/>
      </w:tblGrid>
      <w:tr w14:paraId="36B0B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25" w:type="dxa"/>
            <w:tcBorders>
              <w:tl2br w:val="nil"/>
              <w:tr2bl w:val="nil"/>
            </w:tcBorders>
            <w:noWrap/>
            <w:vAlign w:val="center"/>
          </w:tcPr>
          <w:p w14:paraId="119F59EB">
            <w:pPr>
              <w:spacing w:line="400" w:lineRule="exact"/>
              <w:jc w:val="center"/>
              <w:rPr>
                <w:rFonts w:hint="eastAsia" w:ascii="宋体" w:hAnsi="宋体" w:eastAsia="宋体"/>
                <w:b/>
                <w:bCs/>
                <w:sz w:val="24"/>
              </w:rPr>
            </w:pPr>
            <w:r>
              <w:rPr>
                <w:rFonts w:hint="eastAsia" w:ascii="宋体" w:hAnsi="宋体" w:eastAsia="宋体"/>
                <w:b/>
                <w:bCs/>
                <w:sz w:val="24"/>
              </w:rPr>
              <w:t>模块名称</w:t>
            </w:r>
          </w:p>
        </w:tc>
        <w:tc>
          <w:tcPr>
            <w:tcW w:w="7513" w:type="dxa"/>
            <w:tcBorders>
              <w:tl2br w:val="nil"/>
              <w:tr2bl w:val="nil"/>
            </w:tcBorders>
            <w:noWrap/>
            <w:vAlign w:val="center"/>
          </w:tcPr>
          <w:p w14:paraId="54A8D5AA">
            <w:pPr>
              <w:spacing w:line="400" w:lineRule="exact"/>
              <w:jc w:val="center"/>
              <w:rPr>
                <w:rFonts w:hint="eastAsia" w:ascii="宋体" w:hAnsi="宋体" w:eastAsia="宋体"/>
                <w:b/>
                <w:bCs/>
                <w:sz w:val="24"/>
              </w:rPr>
            </w:pPr>
            <w:r>
              <w:rPr>
                <w:rFonts w:hint="eastAsia" w:ascii="宋体" w:hAnsi="宋体" w:eastAsia="宋体"/>
                <w:b/>
                <w:bCs/>
                <w:sz w:val="24"/>
              </w:rPr>
              <w:t>参数配置</w:t>
            </w:r>
          </w:p>
        </w:tc>
      </w:tr>
      <w:tr w14:paraId="34DCB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25" w:type="dxa"/>
            <w:tcBorders>
              <w:tl2br w:val="nil"/>
              <w:tr2bl w:val="nil"/>
            </w:tcBorders>
            <w:noWrap/>
            <w:vAlign w:val="center"/>
          </w:tcPr>
          <w:p w14:paraId="7124B3D2">
            <w:pPr>
              <w:spacing w:line="400" w:lineRule="exact"/>
              <w:jc w:val="center"/>
              <w:rPr>
                <w:rFonts w:hint="eastAsia" w:ascii="宋体" w:hAnsi="宋体" w:eastAsia="宋体"/>
                <w:sz w:val="24"/>
              </w:rPr>
            </w:pPr>
            <w:r>
              <w:rPr>
                <w:rFonts w:hint="eastAsia" w:ascii="宋体" w:hAnsi="宋体" w:eastAsia="宋体"/>
                <w:sz w:val="24"/>
              </w:rPr>
              <w:t>组织机构管理</w:t>
            </w:r>
          </w:p>
        </w:tc>
        <w:tc>
          <w:tcPr>
            <w:tcW w:w="7513" w:type="dxa"/>
            <w:tcBorders>
              <w:tl2br w:val="nil"/>
              <w:tr2bl w:val="nil"/>
            </w:tcBorders>
            <w:vAlign w:val="center"/>
          </w:tcPr>
          <w:p w14:paraId="40863B65">
            <w:pPr>
              <w:spacing w:line="400" w:lineRule="exact"/>
              <w:rPr>
                <w:rFonts w:hint="eastAsia" w:ascii="宋体" w:hAnsi="宋体" w:eastAsia="宋体"/>
                <w:sz w:val="24"/>
              </w:rPr>
            </w:pPr>
            <w:r>
              <w:rPr>
                <w:rFonts w:hint="eastAsia" w:ascii="宋体" w:hAnsi="宋体" w:eastAsia="宋体"/>
                <w:sz w:val="24"/>
              </w:rPr>
              <w:t>支持多种组织架构设计模式、机构设置、调整类型、流程审批、生成组织机构图、历史机构信息追溯</w:t>
            </w:r>
          </w:p>
        </w:tc>
      </w:tr>
      <w:tr w14:paraId="079FE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25" w:type="dxa"/>
            <w:tcBorders>
              <w:tl2br w:val="nil"/>
              <w:tr2bl w:val="nil"/>
            </w:tcBorders>
            <w:noWrap/>
            <w:vAlign w:val="center"/>
          </w:tcPr>
          <w:p w14:paraId="5E5B37D6">
            <w:pPr>
              <w:spacing w:line="400" w:lineRule="exact"/>
              <w:jc w:val="center"/>
              <w:rPr>
                <w:rFonts w:hint="eastAsia" w:ascii="宋体" w:hAnsi="宋体" w:eastAsia="宋体"/>
                <w:sz w:val="24"/>
              </w:rPr>
            </w:pPr>
            <w:r>
              <w:rPr>
                <w:rFonts w:hint="eastAsia" w:ascii="宋体" w:hAnsi="宋体" w:eastAsia="宋体"/>
                <w:sz w:val="24"/>
              </w:rPr>
              <w:t>编制管理</w:t>
            </w:r>
          </w:p>
        </w:tc>
        <w:tc>
          <w:tcPr>
            <w:tcW w:w="7513" w:type="dxa"/>
            <w:tcBorders>
              <w:tl2br w:val="nil"/>
              <w:tr2bl w:val="nil"/>
            </w:tcBorders>
            <w:vAlign w:val="center"/>
          </w:tcPr>
          <w:p w14:paraId="5CD491E7">
            <w:pPr>
              <w:spacing w:line="400" w:lineRule="exact"/>
              <w:rPr>
                <w:rFonts w:hint="eastAsia" w:ascii="宋体" w:hAnsi="宋体" w:eastAsia="宋体"/>
                <w:sz w:val="24"/>
              </w:rPr>
            </w:pPr>
            <w:r>
              <w:rPr>
                <w:rFonts w:hint="eastAsia" w:ascii="宋体" w:hAnsi="宋体" w:eastAsia="宋体"/>
                <w:sz w:val="24"/>
              </w:rPr>
              <w:t>编制管控模式、编制分解、编制精细化管理、编制历史信息、编制控制</w:t>
            </w:r>
          </w:p>
        </w:tc>
      </w:tr>
      <w:tr w14:paraId="221A9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25" w:type="dxa"/>
            <w:tcBorders>
              <w:tl2br w:val="nil"/>
              <w:tr2bl w:val="nil"/>
            </w:tcBorders>
            <w:noWrap/>
            <w:vAlign w:val="center"/>
          </w:tcPr>
          <w:p w14:paraId="4A89EE3C">
            <w:pPr>
              <w:spacing w:line="400" w:lineRule="exact"/>
              <w:jc w:val="center"/>
              <w:rPr>
                <w:rFonts w:hint="eastAsia" w:ascii="宋体" w:hAnsi="宋体" w:eastAsia="宋体"/>
                <w:sz w:val="24"/>
              </w:rPr>
            </w:pPr>
            <w:r>
              <w:rPr>
                <w:rFonts w:hint="eastAsia" w:ascii="宋体" w:hAnsi="宋体" w:eastAsia="宋体"/>
                <w:sz w:val="24"/>
              </w:rPr>
              <w:t>岗位管理</w:t>
            </w:r>
          </w:p>
        </w:tc>
        <w:tc>
          <w:tcPr>
            <w:tcW w:w="7513" w:type="dxa"/>
            <w:tcBorders>
              <w:tl2br w:val="nil"/>
              <w:tr2bl w:val="nil"/>
            </w:tcBorders>
            <w:vAlign w:val="center"/>
          </w:tcPr>
          <w:p w14:paraId="6442D0C0">
            <w:pPr>
              <w:spacing w:line="400" w:lineRule="exact"/>
              <w:rPr>
                <w:rFonts w:hint="eastAsia" w:ascii="宋体" w:hAnsi="宋体" w:eastAsia="宋体"/>
                <w:sz w:val="24"/>
              </w:rPr>
            </w:pPr>
            <w:r>
              <w:rPr>
                <w:rFonts w:hint="eastAsia" w:ascii="宋体" w:hAnsi="宋体" w:eastAsia="宋体"/>
                <w:sz w:val="24"/>
              </w:rPr>
              <w:t>基准岗位体系、汇报关系、岗位设置、岗位调整、流程审批、历史岗位信息、自动生成岗位说明书</w:t>
            </w:r>
          </w:p>
        </w:tc>
      </w:tr>
      <w:tr w14:paraId="12F0F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25" w:type="dxa"/>
            <w:tcBorders>
              <w:tl2br w:val="nil"/>
              <w:tr2bl w:val="nil"/>
            </w:tcBorders>
            <w:noWrap/>
            <w:vAlign w:val="center"/>
          </w:tcPr>
          <w:p w14:paraId="26FBF9AF">
            <w:pPr>
              <w:spacing w:line="400" w:lineRule="exact"/>
              <w:jc w:val="center"/>
              <w:rPr>
                <w:rFonts w:hint="eastAsia" w:ascii="宋体" w:hAnsi="宋体" w:eastAsia="宋体"/>
                <w:sz w:val="24"/>
              </w:rPr>
            </w:pPr>
            <w:r>
              <w:rPr>
                <w:rFonts w:hint="eastAsia" w:ascii="宋体" w:hAnsi="宋体" w:eastAsia="宋体"/>
                <w:sz w:val="24"/>
              </w:rPr>
              <w:t>员工管理</w:t>
            </w:r>
          </w:p>
        </w:tc>
        <w:tc>
          <w:tcPr>
            <w:tcW w:w="7513" w:type="dxa"/>
            <w:tcBorders>
              <w:tl2br w:val="nil"/>
              <w:tr2bl w:val="nil"/>
            </w:tcBorders>
            <w:noWrap/>
            <w:vAlign w:val="center"/>
          </w:tcPr>
          <w:p w14:paraId="49AB8BA4">
            <w:pPr>
              <w:spacing w:line="400" w:lineRule="exact"/>
              <w:rPr>
                <w:rFonts w:hint="eastAsia" w:ascii="宋体" w:hAnsi="宋体" w:eastAsia="宋体"/>
                <w:sz w:val="24"/>
              </w:rPr>
            </w:pPr>
            <w:r>
              <w:rPr>
                <w:rFonts w:hint="eastAsia" w:ascii="宋体" w:hAnsi="宋体" w:eastAsia="宋体"/>
                <w:sz w:val="24"/>
              </w:rPr>
              <w:t>信息体系建立、信息维护、信息采集、信息归档、信息查询统计、人才画像、员工档案数据校验、人事异动业务结果自动生成记录、各项人事业务关联应用</w:t>
            </w:r>
          </w:p>
        </w:tc>
      </w:tr>
      <w:tr w14:paraId="3AAD3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25" w:type="dxa"/>
            <w:tcBorders>
              <w:tl2br w:val="nil"/>
              <w:tr2bl w:val="nil"/>
            </w:tcBorders>
            <w:noWrap/>
            <w:vAlign w:val="center"/>
          </w:tcPr>
          <w:p w14:paraId="6AC49037">
            <w:pPr>
              <w:spacing w:line="400" w:lineRule="exact"/>
              <w:jc w:val="center"/>
              <w:rPr>
                <w:rFonts w:hint="eastAsia" w:ascii="宋体" w:hAnsi="宋体" w:eastAsia="宋体"/>
                <w:sz w:val="24"/>
              </w:rPr>
            </w:pPr>
            <w:r>
              <w:rPr>
                <w:rFonts w:hint="eastAsia" w:ascii="宋体" w:hAnsi="宋体" w:eastAsia="宋体"/>
                <w:sz w:val="24"/>
              </w:rPr>
              <w:t>预警管理</w:t>
            </w:r>
          </w:p>
        </w:tc>
        <w:tc>
          <w:tcPr>
            <w:tcW w:w="7513" w:type="dxa"/>
            <w:tcBorders>
              <w:tl2br w:val="nil"/>
              <w:tr2bl w:val="nil"/>
            </w:tcBorders>
            <w:noWrap/>
            <w:vAlign w:val="center"/>
          </w:tcPr>
          <w:p w14:paraId="60AF41FC">
            <w:pPr>
              <w:spacing w:line="400" w:lineRule="exact"/>
              <w:rPr>
                <w:rFonts w:hint="eastAsia" w:ascii="宋体" w:hAnsi="宋体" w:eastAsia="宋体"/>
                <w:sz w:val="24"/>
              </w:rPr>
            </w:pPr>
            <w:r>
              <w:rPr>
                <w:rFonts w:hint="eastAsia" w:ascii="宋体" w:hAnsi="宋体" w:eastAsia="宋体"/>
                <w:sz w:val="24"/>
              </w:rPr>
              <w:t>定义预警事件（包括预警触发条件、预警信息内容、预警的时间设置等等）、预警信息的接收者与接收方式、业务自动关联</w:t>
            </w:r>
          </w:p>
        </w:tc>
      </w:tr>
      <w:tr w14:paraId="61775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25" w:type="dxa"/>
            <w:tcBorders>
              <w:tl2br w:val="nil"/>
              <w:tr2bl w:val="nil"/>
            </w:tcBorders>
            <w:noWrap/>
            <w:vAlign w:val="center"/>
          </w:tcPr>
          <w:p w14:paraId="0A91E837">
            <w:pPr>
              <w:spacing w:line="400" w:lineRule="exact"/>
              <w:jc w:val="center"/>
              <w:rPr>
                <w:rFonts w:hint="eastAsia" w:ascii="宋体" w:hAnsi="宋体" w:eastAsia="宋体"/>
                <w:sz w:val="24"/>
              </w:rPr>
            </w:pPr>
            <w:r>
              <w:rPr>
                <w:rFonts w:hint="eastAsia" w:ascii="宋体" w:hAnsi="宋体" w:eastAsia="宋体"/>
                <w:sz w:val="24"/>
              </w:rPr>
              <w:t>人事异动</w:t>
            </w:r>
          </w:p>
        </w:tc>
        <w:tc>
          <w:tcPr>
            <w:tcW w:w="7513" w:type="dxa"/>
            <w:tcBorders>
              <w:tl2br w:val="nil"/>
              <w:tr2bl w:val="nil"/>
            </w:tcBorders>
            <w:noWrap/>
            <w:vAlign w:val="center"/>
          </w:tcPr>
          <w:p w14:paraId="474B70B1">
            <w:pPr>
              <w:spacing w:line="400" w:lineRule="exact"/>
              <w:rPr>
                <w:rFonts w:hint="eastAsia" w:ascii="宋体" w:hAnsi="宋体" w:eastAsia="宋体"/>
                <w:sz w:val="24"/>
              </w:rPr>
            </w:pPr>
            <w:r>
              <w:rPr>
                <w:rFonts w:hint="eastAsia" w:ascii="宋体" w:hAnsi="宋体" w:eastAsia="宋体"/>
                <w:sz w:val="24"/>
              </w:rPr>
              <w:t>员工扫码入职、入职信息自动归档、自动转入试用期工资流程、试用期满转正、院内调动、职工调离、退休业务</w:t>
            </w:r>
          </w:p>
        </w:tc>
      </w:tr>
      <w:tr w14:paraId="70A8F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25" w:type="dxa"/>
            <w:tcBorders>
              <w:tl2br w:val="nil"/>
              <w:tr2bl w:val="nil"/>
            </w:tcBorders>
            <w:noWrap/>
            <w:vAlign w:val="center"/>
          </w:tcPr>
          <w:p w14:paraId="30A14C37">
            <w:pPr>
              <w:spacing w:line="400" w:lineRule="exact"/>
              <w:jc w:val="center"/>
              <w:rPr>
                <w:rFonts w:hint="eastAsia" w:ascii="宋体" w:hAnsi="宋体" w:eastAsia="宋体"/>
                <w:sz w:val="24"/>
              </w:rPr>
            </w:pPr>
            <w:r>
              <w:rPr>
                <w:rFonts w:hint="eastAsia" w:ascii="宋体" w:hAnsi="宋体" w:eastAsia="宋体"/>
                <w:sz w:val="24"/>
              </w:rPr>
              <w:t>报表管理</w:t>
            </w:r>
          </w:p>
        </w:tc>
        <w:tc>
          <w:tcPr>
            <w:tcW w:w="7513" w:type="dxa"/>
            <w:tcBorders>
              <w:tl2br w:val="nil"/>
              <w:tr2bl w:val="nil"/>
            </w:tcBorders>
            <w:noWrap/>
            <w:vAlign w:val="center"/>
          </w:tcPr>
          <w:p w14:paraId="71FC91B1">
            <w:pPr>
              <w:spacing w:line="400" w:lineRule="exact"/>
              <w:rPr>
                <w:rFonts w:hint="eastAsia" w:ascii="宋体" w:hAnsi="宋体" w:eastAsia="宋体"/>
                <w:sz w:val="24"/>
              </w:rPr>
            </w:pPr>
            <w:r>
              <w:rPr>
                <w:rFonts w:hint="eastAsia" w:ascii="宋体" w:hAnsi="宋体" w:eastAsia="宋体"/>
                <w:sz w:val="24"/>
              </w:rPr>
              <w:t>报表制作、报表生成（事业单位人员统计表、机关事业单位工资福利统计表、事业单位领导人员情况统计表、日常报表）、报表编辑、报表分析</w:t>
            </w:r>
          </w:p>
        </w:tc>
      </w:tr>
      <w:tr w14:paraId="287C0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25" w:type="dxa"/>
            <w:tcBorders>
              <w:tl2br w:val="nil"/>
              <w:tr2bl w:val="nil"/>
            </w:tcBorders>
            <w:noWrap/>
            <w:vAlign w:val="center"/>
          </w:tcPr>
          <w:p w14:paraId="48F3C28B">
            <w:pPr>
              <w:spacing w:line="400" w:lineRule="exact"/>
              <w:jc w:val="center"/>
              <w:rPr>
                <w:rFonts w:hint="eastAsia" w:ascii="宋体" w:hAnsi="宋体" w:eastAsia="宋体"/>
                <w:sz w:val="24"/>
              </w:rPr>
            </w:pPr>
            <w:r>
              <w:rPr>
                <w:rFonts w:hint="eastAsia" w:ascii="宋体" w:hAnsi="宋体" w:eastAsia="宋体"/>
                <w:sz w:val="24"/>
              </w:rPr>
              <w:t>表格设计工具与流程设计器</w:t>
            </w:r>
          </w:p>
        </w:tc>
        <w:tc>
          <w:tcPr>
            <w:tcW w:w="7513" w:type="dxa"/>
            <w:tcBorders>
              <w:tl2br w:val="nil"/>
              <w:tr2bl w:val="nil"/>
            </w:tcBorders>
            <w:noWrap/>
            <w:vAlign w:val="center"/>
          </w:tcPr>
          <w:p w14:paraId="3EEF54C6">
            <w:pPr>
              <w:spacing w:line="400" w:lineRule="exact"/>
              <w:rPr>
                <w:rFonts w:hint="eastAsia" w:ascii="宋体" w:hAnsi="宋体" w:eastAsia="宋体"/>
                <w:sz w:val="24"/>
              </w:rPr>
            </w:pPr>
            <w:r>
              <w:rPr>
                <w:rFonts w:hint="eastAsia" w:ascii="宋体" w:hAnsi="宋体" w:eastAsia="宋体"/>
                <w:sz w:val="24"/>
              </w:rPr>
              <w:t>登记表、高级花名册、业务模板、统计报表、流程表单设计</w:t>
            </w:r>
          </w:p>
        </w:tc>
      </w:tr>
      <w:tr w14:paraId="3842B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25" w:type="dxa"/>
            <w:tcBorders>
              <w:tl2br w:val="nil"/>
              <w:tr2bl w:val="nil"/>
            </w:tcBorders>
            <w:noWrap/>
            <w:vAlign w:val="center"/>
          </w:tcPr>
          <w:p w14:paraId="37E203E8">
            <w:pPr>
              <w:spacing w:line="400" w:lineRule="exact"/>
              <w:jc w:val="center"/>
              <w:rPr>
                <w:rFonts w:hint="eastAsia" w:ascii="宋体" w:hAnsi="宋体" w:eastAsia="宋体"/>
                <w:sz w:val="24"/>
              </w:rPr>
            </w:pPr>
            <w:r>
              <w:rPr>
                <w:rFonts w:hint="eastAsia" w:ascii="宋体" w:hAnsi="宋体" w:eastAsia="宋体"/>
                <w:sz w:val="24"/>
              </w:rPr>
              <w:t>流程管理</w:t>
            </w:r>
          </w:p>
        </w:tc>
        <w:tc>
          <w:tcPr>
            <w:tcW w:w="7513" w:type="dxa"/>
            <w:tcBorders>
              <w:tl2br w:val="nil"/>
              <w:tr2bl w:val="nil"/>
            </w:tcBorders>
            <w:noWrap/>
            <w:vAlign w:val="center"/>
          </w:tcPr>
          <w:p w14:paraId="6C6BC48B">
            <w:pPr>
              <w:spacing w:line="400" w:lineRule="exact"/>
              <w:rPr>
                <w:rFonts w:hint="eastAsia" w:ascii="宋体" w:hAnsi="宋体" w:eastAsia="宋体"/>
                <w:sz w:val="24"/>
              </w:rPr>
            </w:pPr>
            <w:r>
              <w:rPr>
                <w:rFonts w:hint="eastAsia" w:ascii="宋体" w:hAnsi="宋体" w:eastAsia="宋体"/>
                <w:sz w:val="24"/>
              </w:rPr>
              <w:t>流程自定义、流程图设计、流程发起、流程审批、流程监控、流程安全</w:t>
            </w:r>
          </w:p>
        </w:tc>
      </w:tr>
      <w:tr w14:paraId="5C808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25" w:type="dxa"/>
            <w:tcBorders>
              <w:tl2br w:val="nil"/>
              <w:tr2bl w:val="nil"/>
            </w:tcBorders>
            <w:noWrap/>
            <w:vAlign w:val="center"/>
          </w:tcPr>
          <w:p w14:paraId="36E0C3F3">
            <w:pPr>
              <w:spacing w:line="400" w:lineRule="exact"/>
              <w:jc w:val="center"/>
              <w:rPr>
                <w:rFonts w:hint="eastAsia" w:ascii="宋体" w:hAnsi="宋体" w:eastAsia="宋体"/>
                <w:sz w:val="24"/>
              </w:rPr>
            </w:pPr>
            <w:r>
              <w:rPr>
                <w:rFonts w:hint="eastAsia" w:ascii="宋体" w:hAnsi="宋体" w:eastAsia="宋体"/>
                <w:sz w:val="24"/>
              </w:rPr>
              <w:t>合同管理</w:t>
            </w:r>
          </w:p>
        </w:tc>
        <w:tc>
          <w:tcPr>
            <w:tcW w:w="7513" w:type="dxa"/>
            <w:tcBorders>
              <w:tl2br w:val="nil"/>
              <w:tr2bl w:val="nil"/>
            </w:tcBorders>
            <w:noWrap/>
            <w:vAlign w:val="center"/>
          </w:tcPr>
          <w:p w14:paraId="2A037BF6">
            <w:pPr>
              <w:spacing w:line="400" w:lineRule="exact"/>
              <w:rPr>
                <w:rFonts w:hint="eastAsia" w:ascii="宋体" w:hAnsi="宋体" w:eastAsia="宋体"/>
                <w:sz w:val="24"/>
              </w:rPr>
            </w:pPr>
            <w:r>
              <w:rPr>
                <w:rFonts w:hint="eastAsia" w:ascii="宋体" w:hAnsi="宋体" w:eastAsia="宋体"/>
                <w:sz w:val="24"/>
              </w:rPr>
              <w:t>多种合同类型建立、合同业务处理、合同续签、合同终止解除、合同到期预警</w:t>
            </w:r>
          </w:p>
        </w:tc>
      </w:tr>
      <w:tr w14:paraId="14D57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25" w:type="dxa"/>
            <w:tcBorders>
              <w:tl2br w:val="nil"/>
              <w:tr2bl w:val="nil"/>
            </w:tcBorders>
            <w:noWrap/>
            <w:vAlign w:val="center"/>
          </w:tcPr>
          <w:p w14:paraId="6DA9C54F">
            <w:pPr>
              <w:spacing w:line="400" w:lineRule="exact"/>
              <w:jc w:val="center"/>
              <w:rPr>
                <w:rFonts w:hint="eastAsia" w:ascii="宋体" w:hAnsi="宋体" w:eastAsia="宋体"/>
                <w:sz w:val="24"/>
              </w:rPr>
            </w:pPr>
            <w:r>
              <w:rPr>
                <w:rFonts w:hint="eastAsia" w:ascii="宋体" w:hAnsi="宋体" w:eastAsia="宋体"/>
                <w:sz w:val="24"/>
              </w:rPr>
              <w:t>薪资管理</w:t>
            </w:r>
          </w:p>
        </w:tc>
        <w:tc>
          <w:tcPr>
            <w:tcW w:w="7513" w:type="dxa"/>
            <w:tcBorders>
              <w:tl2br w:val="nil"/>
              <w:tr2bl w:val="nil"/>
            </w:tcBorders>
            <w:noWrap/>
            <w:vAlign w:val="center"/>
          </w:tcPr>
          <w:p w14:paraId="049D312B">
            <w:pPr>
              <w:spacing w:line="400" w:lineRule="exact"/>
              <w:rPr>
                <w:rFonts w:hint="eastAsia" w:ascii="宋体" w:hAnsi="宋体" w:eastAsia="宋体"/>
                <w:sz w:val="24"/>
              </w:rPr>
            </w:pPr>
            <w:r>
              <w:rPr>
                <w:rFonts w:hint="eastAsia" w:ascii="宋体" w:hAnsi="宋体" w:eastAsia="宋体"/>
                <w:sz w:val="24"/>
              </w:rPr>
              <w:t>薪资体系设置、薪资变动（确认工资、转正定级、岗位变动、年度薪资普调、学历晋升、出国调薪、离职停薪、退休调薪、工资标准调整）、薪资核算、薪资数据分析与应用</w:t>
            </w:r>
          </w:p>
        </w:tc>
      </w:tr>
      <w:tr w14:paraId="22B74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25" w:type="dxa"/>
            <w:tcBorders>
              <w:tl2br w:val="nil"/>
              <w:tr2bl w:val="nil"/>
            </w:tcBorders>
            <w:noWrap/>
            <w:vAlign w:val="center"/>
          </w:tcPr>
          <w:p w14:paraId="6A0F87C9">
            <w:pPr>
              <w:spacing w:line="400" w:lineRule="exact"/>
              <w:jc w:val="center"/>
              <w:rPr>
                <w:rFonts w:hint="eastAsia" w:ascii="宋体" w:hAnsi="宋体" w:eastAsia="宋体"/>
                <w:sz w:val="24"/>
              </w:rPr>
            </w:pPr>
            <w:r>
              <w:rPr>
                <w:rFonts w:hint="eastAsia" w:ascii="宋体" w:hAnsi="宋体" w:eastAsia="宋体"/>
                <w:sz w:val="24"/>
              </w:rPr>
              <w:t>保险管理</w:t>
            </w:r>
          </w:p>
        </w:tc>
        <w:tc>
          <w:tcPr>
            <w:tcW w:w="7513" w:type="dxa"/>
            <w:tcBorders>
              <w:tl2br w:val="nil"/>
              <w:tr2bl w:val="nil"/>
            </w:tcBorders>
            <w:noWrap/>
            <w:vAlign w:val="center"/>
          </w:tcPr>
          <w:p w14:paraId="620C0840">
            <w:pPr>
              <w:spacing w:line="400" w:lineRule="exact"/>
              <w:rPr>
                <w:rFonts w:hint="eastAsia" w:ascii="宋体" w:hAnsi="宋体" w:eastAsia="宋体"/>
                <w:sz w:val="24"/>
              </w:rPr>
            </w:pPr>
            <w:r>
              <w:rPr>
                <w:rFonts w:hint="eastAsia" w:ascii="宋体" w:hAnsi="宋体" w:eastAsia="宋体"/>
                <w:sz w:val="24"/>
              </w:rPr>
              <w:t>险种类别、保险规则、社保新增起缴停缴、基数调整、社保核算</w:t>
            </w:r>
          </w:p>
        </w:tc>
      </w:tr>
      <w:tr w14:paraId="24636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25" w:type="dxa"/>
            <w:tcBorders>
              <w:tl2br w:val="nil"/>
              <w:tr2bl w:val="nil"/>
            </w:tcBorders>
            <w:noWrap/>
            <w:vAlign w:val="center"/>
          </w:tcPr>
          <w:p w14:paraId="3CC5FBB5">
            <w:pPr>
              <w:spacing w:line="400" w:lineRule="exact"/>
              <w:jc w:val="center"/>
              <w:rPr>
                <w:rFonts w:hint="eastAsia" w:ascii="宋体" w:hAnsi="宋体" w:eastAsia="宋体"/>
                <w:sz w:val="24"/>
              </w:rPr>
            </w:pPr>
            <w:r>
              <w:rPr>
                <w:rFonts w:hint="eastAsia" w:ascii="宋体" w:hAnsi="宋体" w:eastAsia="宋体"/>
                <w:sz w:val="24"/>
              </w:rPr>
              <w:t>考勤管理</w:t>
            </w:r>
          </w:p>
        </w:tc>
        <w:tc>
          <w:tcPr>
            <w:tcW w:w="7513" w:type="dxa"/>
            <w:tcBorders>
              <w:tl2br w:val="nil"/>
              <w:tr2bl w:val="nil"/>
            </w:tcBorders>
            <w:noWrap/>
            <w:vAlign w:val="center"/>
          </w:tcPr>
          <w:p w14:paraId="581FD8BE">
            <w:pPr>
              <w:spacing w:line="400" w:lineRule="exact"/>
              <w:rPr>
                <w:rFonts w:hint="eastAsia" w:ascii="宋体" w:hAnsi="宋体" w:eastAsia="宋体"/>
                <w:sz w:val="24"/>
              </w:rPr>
            </w:pPr>
            <w:r>
              <w:rPr>
                <w:rFonts w:hint="eastAsia" w:ascii="宋体" w:hAnsi="宋体" w:eastAsia="宋体"/>
                <w:sz w:val="24"/>
              </w:rPr>
              <w:t>考勤参数、考勤方案、请假、销假、岗位轮转、考勤上报、考勤审批、考勤数据归档</w:t>
            </w:r>
          </w:p>
        </w:tc>
      </w:tr>
      <w:tr w14:paraId="35BCF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25" w:type="dxa"/>
            <w:tcBorders>
              <w:tl2br w:val="nil"/>
              <w:tr2bl w:val="nil"/>
            </w:tcBorders>
            <w:noWrap/>
            <w:vAlign w:val="center"/>
          </w:tcPr>
          <w:p w14:paraId="6F5CD79A">
            <w:pPr>
              <w:spacing w:line="400" w:lineRule="exact"/>
              <w:jc w:val="center"/>
              <w:rPr>
                <w:rFonts w:hint="eastAsia" w:ascii="宋体" w:hAnsi="宋体" w:eastAsia="宋体"/>
                <w:sz w:val="24"/>
              </w:rPr>
            </w:pPr>
            <w:r>
              <w:rPr>
                <w:rFonts w:hint="eastAsia" w:ascii="宋体" w:hAnsi="宋体" w:eastAsia="宋体"/>
                <w:sz w:val="24"/>
              </w:rPr>
              <w:t>职称管理</w:t>
            </w:r>
          </w:p>
        </w:tc>
        <w:tc>
          <w:tcPr>
            <w:tcW w:w="7513" w:type="dxa"/>
            <w:tcBorders>
              <w:tl2br w:val="nil"/>
              <w:tr2bl w:val="nil"/>
            </w:tcBorders>
            <w:noWrap/>
            <w:vAlign w:val="center"/>
          </w:tcPr>
          <w:p w14:paraId="57C82EEC">
            <w:pPr>
              <w:spacing w:line="400" w:lineRule="exact"/>
              <w:rPr>
                <w:rFonts w:hint="eastAsia" w:ascii="宋体" w:hAnsi="宋体" w:eastAsia="宋体"/>
                <w:sz w:val="24"/>
              </w:rPr>
            </w:pPr>
            <w:r>
              <w:rPr>
                <w:rFonts w:hint="eastAsia" w:ascii="宋体" w:hAnsi="宋体" w:eastAsia="宋体"/>
                <w:sz w:val="24"/>
              </w:rPr>
              <w:t>职称考试报名、申报、材料审核、聘任</w:t>
            </w:r>
          </w:p>
        </w:tc>
      </w:tr>
      <w:tr w14:paraId="3A2E4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25" w:type="dxa"/>
            <w:tcBorders>
              <w:tl2br w:val="nil"/>
              <w:tr2bl w:val="nil"/>
            </w:tcBorders>
            <w:noWrap/>
            <w:vAlign w:val="center"/>
          </w:tcPr>
          <w:p w14:paraId="4998909D">
            <w:pPr>
              <w:spacing w:line="400" w:lineRule="exact"/>
              <w:jc w:val="center"/>
              <w:rPr>
                <w:rFonts w:hint="eastAsia" w:ascii="宋体" w:hAnsi="宋体" w:eastAsia="宋体"/>
                <w:sz w:val="24"/>
              </w:rPr>
            </w:pPr>
            <w:r>
              <w:rPr>
                <w:rFonts w:hint="eastAsia" w:ascii="宋体" w:hAnsi="宋体" w:eastAsia="宋体"/>
                <w:sz w:val="24"/>
              </w:rPr>
              <w:t>人才管理</w:t>
            </w:r>
          </w:p>
        </w:tc>
        <w:tc>
          <w:tcPr>
            <w:tcW w:w="7513" w:type="dxa"/>
            <w:tcBorders>
              <w:tl2br w:val="nil"/>
              <w:tr2bl w:val="nil"/>
            </w:tcBorders>
            <w:noWrap/>
            <w:vAlign w:val="center"/>
          </w:tcPr>
          <w:p w14:paraId="7CF0BA76">
            <w:pPr>
              <w:spacing w:line="400" w:lineRule="exact"/>
              <w:rPr>
                <w:rFonts w:hint="eastAsia" w:ascii="宋体" w:hAnsi="宋体" w:eastAsia="宋体"/>
                <w:sz w:val="24"/>
              </w:rPr>
            </w:pPr>
            <w:r>
              <w:rPr>
                <w:rFonts w:hint="eastAsia" w:ascii="宋体" w:hAnsi="宋体" w:eastAsia="宋体"/>
                <w:sz w:val="24"/>
              </w:rPr>
              <w:t>人才申报、评审、考评、资助等</w:t>
            </w:r>
          </w:p>
        </w:tc>
      </w:tr>
      <w:tr w14:paraId="00493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25" w:type="dxa"/>
            <w:tcBorders>
              <w:tl2br w:val="nil"/>
              <w:tr2bl w:val="nil"/>
            </w:tcBorders>
            <w:noWrap/>
            <w:vAlign w:val="center"/>
          </w:tcPr>
          <w:p w14:paraId="636503E5">
            <w:pPr>
              <w:spacing w:line="400" w:lineRule="exact"/>
              <w:jc w:val="center"/>
              <w:rPr>
                <w:rFonts w:hint="eastAsia" w:ascii="宋体" w:hAnsi="宋体" w:eastAsia="宋体"/>
                <w:sz w:val="24"/>
              </w:rPr>
            </w:pPr>
            <w:r>
              <w:rPr>
                <w:rFonts w:hint="eastAsia" w:ascii="宋体" w:hAnsi="宋体" w:eastAsia="宋体"/>
                <w:sz w:val="24"/>
              </w:rPr>
              <w:t>员工共享服务中心</w:t>
            </w:r>
          </w:p>
        </w:tc>
        <w:tc>
          <w:tcPr>
            <w:tcW w:w="7513" w:type="dxa"/>
            <w:tcBorders>
              <w:tl2br w:val="nil"/>
              <w:tr2bl w:val="nil"/>
            </w:tcBorders>
            <w:noWrap/>
            <w:vAlign w:val="center"/>
          </w:tcPr>
          <w:p w14:paraId="6C5F30E0">
            <w:pPr>
              <w:spacing w:line="400" w:lineRule="exact"/>
              <w:rPr>
                <w:rFonts w:hint="eastAsia" w:ascii="宋体" w:hAnsi="宋体" w:eastAsia="宋体"/>
                <w:sz w:val="24"/>
              </w:rPr>
            </w:pPr>
            <w:r>
              <w:rPr>
                <w:rFonts w:hint="eastAsia" w:ascii="宋体" w:hAnsi="宋体" w:eastAsia="宋体"/>
                <w:sz w:val="24"/>
              </w:rPr>
              <w:t>领导及员工信息自助查询、信息推送、待办任务提醒及审批、服务大厅自助办理人事业务</w:t>
            </w:r>
          </w:p>
        </w:tc>
      </w:tr>
      <w:tr w14:paraId="30DD6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25" w:type="dxa"/>
            <w:tcBorders>
              <w:tl2br w:val="nil"/>
              <w:tr2bl w:val="nil"/>
            </w:tcBorders>
            <w:noWrap/>
            <w:vAlign w:val="center"/>
          </w:tcPr>
          <w:p w14:paraId="2B1B4E23">
            <w:pPr>
              <w:spacing w:line="400" w:lineRule="exact"/>
              <w:jc w:val="center"/>
              <w:rPr>
                <w:rFonts w:hint="eastAsia" w:ascii="宋体" w:hAnsi="宋体" w:eastAsia="宋体"/>
                <w:sz w:val="24"/>
              </w:rPr>
            </w:pPr>
            <w:r>
              <w:rPr>
                <w:rFonts w:hint="eastAsia" w:ascii="宋体" w:hAnsi="宋体" w:eastAsia="宋体"/>
                <w:sz w:val="24"/>
              </w:rPr>
              <w:t>移动应用</w:t>
            </w:r>
          </w:p>
        </w:tc>
        <w:tc>
          <w:tcPr>
            <w:tcW w:w="7513" w:type="dxa"/>
            <w:tcBorders>
              <w:tl2br w:val="nil"/>
              <w:tr2bl w:val="nil"/>
            </w:tcBorders>
            <w:noWrap/>
            <w:vAlign w:val="center"/>
          </w:tcPr>
          <w:p w14:paraId="32393BCF">
            <w:pPr>
              <w:spacing w:line="400" w:lineRule="exact"/>
              <w:rPr>
                <w:rFonts w:hint="eastAsia" w:ascii="宋体" w:hAnsi="宋体" w:eastAsia="宋体"/>
                <w:sz w:val="24"/>
              </w:rPr>
            </w:pPr>
            <w:r>
              <w:rPr>
                <w:rFonts w:hint="eastAsia" w:ascii="宋体" w:hAnsi="宋体" w:eastAsia="宋体"/>
                <w:sz w:val="24"/>
              </w:rPr>
              <w:t>领导及员工信息自助查询、员工业务申请报批、待办业务处理、业务审批进度查询、薪酬数据查询、人力分析、科室人员构成情况分析</w:t>
            </w:r>
          </w:p>
        </w:tc>
      </w:tr>
    </w:tbl>
    <w:p w14:paraId="17BC93BB">
      <w:pPr>
        <w:pStyle w:val="7"/>
        <w:jc w:val="left"/>
        <w:rPr>
          <w:sz w:val="28"/>
          <w:szCs w:val="28"/>
        </w:rPr>
      </w:pPr>
      <w:r>
        <w:rPr>
          <w:rFonts w:hint="eastAsia"/>
          <w:sz w:val="28"/>
          <w:szCs w:val="28"/>
          <w:lang w:val="en-US" w:eastAsia="zh-CN"/>
        </w:rPr>
        <w:t>三</w:t>
      </w:r>
      <w:r>
        <w:rPr>
          <w:rFonts w:hint="eastAsia"/>
          <w:sz w:val="28"/>
          <w:szCs w:val="28"/>
        </w:rPr>
        <w:t>、保修与其他</w:t>
      </w:r>
    </w:p>
    <w:p w14:paraId="2D8BDB11">
      <w:pPr>
        <w:spacing w:line="360" w:lineRule="auto"/>
        <w:rPr>
          <w:rFonts w:hint="eastAsia" w:ascii="宋体" w:hAnsi="宋体" w:eastAsia="宋体" w:cs="宋体"/>
          <w:sz w:val="24"/>
        </w:rPr>
      </w:pPr>
      <w:r>
        <w:rPr>
          <w:rFonts w:hint="eastAsia" w:ascii="宋体" w:hAnsi="宋体" w:eastAsia="宋体" w:cs="宋体"/>
          <w:sz w:val="24"/>
        </w:rPr>
        <w:t>1、人员配置要求</w:t>
      </w:r>
    </w:p>
    <w:p w14:paraId="7026609E">
      <w:pPr>
        <w:spacing w:line="360" w:lineRule="auto"/>
        <w:rPr>
          <w:rFonts w:hint="eastAsia" w:ascii="宋体" w:hAnsi="宋体" w:eastAsia="宋体" w:cs="宋体"/>
          <w:sz w:val="24"/>
        </w:rPr>
      </w:pPr>
      <w:r>
        <w:rPr>
          <w:rFonts w:hint="eastAsia" w:ascii="宋体" w:hAnsi="宋体" w:eastAsia="宋体" w:cs="宋体"/>
          <w:sz w:val="24"/>
        </w:rPr>
        <w:t>应成立专门的项目实施团队，项目经理需要有类似信息化项目五年以上实施经验，有很强的沟通协调能力，涉及在用系统对接等必须提供切实可行不影响医院正常业务的实施方案，且直至系统平稳运行，项目经理原则上不予更换。项目实施期间，在场工程师参照甲方工作时间执行，并参与甲方安排的值班制度。</w:t>
      </w:r>
    </w:p>
    <w:p w14:paraId="26BF4830">
      <w:pPr>
        <w:spacing w:line="360" w:lineRule="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2、业绩案例要求</w:t>
      </w:r>
    </w:p>
    <w:p w14:paraId="1D1AE546">
      <w:pPr>
        <w:spacing w:line="360" w:lineRule="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提供近四年（合同签订日期于2022年1月1日后的）同类项目成功</w:t>
      </w:r>
      <w:r>
        <w:rPr>
          <w:rFonts w:ascii="宋体" w:hAnsi="宋体" w:eastAsia="宋体" w:cs="宋体"/>
          <w:color w:val="000000" w:themeColor="text1"/>
          <w:sz w:val="24"/>
          <w14:textFill>
            <w14:solidFill>
              <w14:schemeClr w14:val="tx1"/>
            </w14:solidFill>
          </w14:textFill>
        </w:rPr>
        <w:t>案例</w:t>
      </w:r>
      <w:r>
        <w:rPr>
          <w:rFonts w:hint="eastAsia" w:ascii="宋体" w:hAnsi="宋体" w:eastAsia="宋体" w:cs="宋体"/>
          <w:color w:val="000000" w:themeColor="text1"/>
          <w:sz w:val="24"/>
          <w14:textFill>
            <w14:solidFill>
              <w14:schemeClr w14:val="tx1"/>
            </w14:solidFill>
          </w14:textFill>
        </w:rPr>
        <w:t>，且项目已合格验收(提供项目合同复印件、用户盖章验收单复印件)。</w:t>
      </w:r>
    </w:p>
    <w:p w14:paraId="3B98746E">
      <w:pPr>
        <w:spacing w:line="360" w:lineRule="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w:t>
      </w:r>
      <w:r>
        <w:rPr>
          <w:rFonts w:ascii="宋体" w:hAnsi="宋体" w:eastAsia="宋体" w:cs="宋体"/>
          <w:color w:val="000000" w:themeColor="text1"/>
          <w:sz w:val="24"/>
          <w14:textFill>
            <w14:solidFill>
              <w14:schemeClr w14:val="tx1"/>
            </w14:solidFill>
          </w14:textFill>
        </w:rPr>
        <w:t>软件产品自主可控与知识产权资质要求</w:t>
      </w:r>
    </w:p>
    <w:p w14:paraId="498E58FE">
      <w:pPr>
        <w:spacing w:line="360" w:lineRule="auto"/>
        <w:rPr>
          <w:rFonts w:hint="eastAsia" w:ascii="宋体" w:hAnsi="宋体" w:eastAsia="宋体"/>
          <w:color w:val="000000" w:themeColor="text1"/>
          <w:sz w:val="24"/>
          <w14:textFill>
            <w14:solidFill>
              <w14:schemeClr w14:val="tx1"/>
            </w14:solidFill>
          </w14:textFill>
        </w:rPr>
      </w:pPr>
      <w:r>
        <w:rPr>
          <w:rFonts w:hint="eastAsia" w:ascii="宋体" w:hAnsi="宋体" w:eastAsia="宋体"/>
          <w:color w:val="000000" w:themeColor="text1"/>
          <w:sz w:val="24"/>
          <w14:textFill>
            <w14:solidFill>
              <w14:schemeClr w14:val="tx1"/>
            </w14:solidFill>
          </w14:textFill>
        </w:rPr>
        <w:t>提供</w:t>
      </w:r>
      <w:r>
        <w:rPr>
          <w:rFonts w:hint="eastAsia" w:ascii="宋体" w:hAnsi="宋体" w:eastAsia="宋体"/>
          <w:color w:val="000000" w:themeColor="text1"/>
          <w:sz w:val="24"/>
          <w:lang w:val="en-US" w:eastAsia="zh-CN"/>
          <w14:textFill>
            <w14:solidFill>
              <w14:schemeClr w14:val="tx1"/>
            </w14:solidFill>
          </w14:textFill>
        </w:rPr>
        <w:t>的</w:t>
      </w:r>
      <w:r>
        <w:rPr>
          <w:rFonts w:hint="eastAsia" w:ascii="宋体" w:hAnsi="宋体" w:eastAsia="宋体"/>
          <w:color w:val="000000" w:themeColor="text1"/>
          <w:sz w:val="24"/>
          <w14:textFill>
            <w14:solidFill>
              <w14:schemeClr w14:val="tx1"/>
            </w14:solidFill>
          </w14:textFill>
        </w:rPr>
        <w:t>软件</w:t>
      </w:r>
      <w:r>
        <w:rPr>
          <w:rFonts w:hint="eastAsia" w:ascii="宋体" w:hAnsi="宋体" w:eastAsia="宋体"/>
          <w:color w:val="000000" w:themeColor="text1"/>
          <w:sz w:val="24"/>
          <w:lang w:val="en-US" w:eastAsia="zh-CN"/>
          <w14:textFill>
            <w14:solidFill>
              <w14:schemeClr w14:val="tx1"/>
            </w14:solidFill>
          </w14:textFill>
        </w:rPr>
        <w:t>产品具有</w:t>
      </w:r>
      <w:r>
        <w:rPr>
          <w:rFonts w:hint="eastAsia" w:ascii="宋体" w:hAnsi="宋体" w:eastAsia="宋体"/>
          <w:color w:val="000000" w:themeColor="text1"/>
          <w:sz w:val="24"/>
          <w14:textFill>
            <w14:solidFill>
              <w14:schemeClr w14:val="tx1"/>
            </w14:solidFill>
          </w14:textFill>
        </w:rPr>
        <w:t>著作权登记证书。</w:t>
      </w:r>
    </w:p>
    <w:p w14:paraId="0D0F3327">
      <w:pPr>
        <w:spacing w:line="360" w:lineRule="auto"/>
        <w:rPr>
          <w:rFonts w:hint="eastAsia" w:ascii="宋体" w:hAnsi="宋体" w:eastAsia="宋体" w:cs="宋体"/>
          <w:sz w:val="24"/>
        </w:rPr>
      </w:pPr>
      <w:r>
        <w:rPr>
          <w:rFonts w:hint="eastAsia" w:ascii="宋体" w:hAnsi="宋体" w:eastAsia="宋体" w:cs="宋体"/>
          <w:sz w:val="24"/>
        </w:rPr>
        <w:t>4、接口开放要求</w:t>
      </w:r>
    </w:p>
    <w:p w14:paraId="2A09434B">
      <w:pPr>
        <w:spacing w:line="360" w:lineRule="auto"/>
        <w:rPr>
          <w:rFonts w:hint="eastAsia" w:ascii="宋体" w:hAnsi="宋体" w:eastAsia="宋体" w:cs="宋体"/>
          <w:sz w:val="24"/>
        </w:rPr>
      </w:pPr>
      <w:r>
        <w:rPr>
          <w:rFonts w:hint="eastAsia" w:ascii="宋体" w:hAnsi="宋体" w:eastAsia="宋体" w:cs="宋体"/>
          <w:sz w:val="24"/>
          <w:lang w:val="en-US" w:eastAsia="zh-CN"/>
        </w:rPr>
        <w:t>提供</w:t>
      </w:r>
      <w:bookmarkStart w:id="0" w:name="_GoBack"/>
      <w:bookmarkEnd w:id="0"/>
      <w:r>
        <w:rPr>
          <w:rFonts w:hint="eastAsia" w:ascii="宋体" w:hAnsi="宋体" w:eastAsia="宋体" w:cs="宋体"/>
          <w:sz w:val="24"/>
        </w:rPr>
        <w:t>深度开放系统接口（即所有系统接口均提供接口规范、源代码、技术文档），以方便系统后期扩容和与其它系统无条件对接。</w:t>
      </w:r>
    </w:p>
    <w:p w14:paraId="332A1085">
      <w:pPr>
        <w:spacing w:line="360" w:lineRule="auto"/>
        <w:rPr>
          <w:rFonts w:hint="eastAsia" w:ascii="宋体" w:hAnsi="宋体" w:eastAsia="宋体" w:cs="宋体"/>
          <w:sz w:val="24"/>
        </w:rPr>
      </w:pPr>
      <w:r>
        <w:rPr>
          <w:rFonts w:hint="eastAsia" w:ascii="宋体" w:hAnsi="宋体" w:eastAsia="宋体" w:cs="宋体"/>
          <w:sz w:val="24"/>
        </w:rPr>
        <w:t>5、维保期要求</w:t>
      </w:r>
    </w:p>
    <w:p w14:paraId="74A2D412">
      <w:pPr>
        <w:spacing w:line="360" w:lineRule="auto"/>
        <w:rPr>
          <w:rFonts w:hint="eastAsia" w:ascii="宋体" w:hAnsi="宋体" w:eastAsia="宋体" w:cs="宋体"/>
          <w:sz w:val="24"/>
        </w:rPr>
      </w:pPr>
      <w:r>
        <w:rPr>
          <w:rFonts w:hint="eastAsia" w:ascii="宋体" w:hAnsi="宋体" w:eastAsia="宋体" w:cs="宋体"/>
          <w:sz w:val="24"/>
        </w:rPr>
        <w:t>项目软件为3年免费维保期。免费维护保养服务期间，出现故障30分钟内响应、一般故障8小时内解决维修问题，重大事故不超过24小时。维修要更换模块等配件的，不超过24小时。维修完成后，确保故障解决。</w:t>
      </w:r>
    </w:p>
    <w:p w14:paraId="501358E8">
      <w:pPr>
        <w:spacing w:line="360" w:lineRule="auto"/>
        <w:rPr>
          <w:rFonts w:hint="eastAsia" w:ascii="宋体" w:hAnsi="宋体" w:eastAsia="宋体"/>
          <w:sz w:val="24"/>
        </w:rPr>
      </w:pPr>
    </w:p>
    <w:sectPr>
      <w:pgSz w:w="11906" w:h="16838"/>
      <w:pgMar w:top="1440" w:right="1803" w:bottom="1440" w:left="1803" w:header="851" w:footer="992" w:gutter="0"/>
      <w:cols w:space="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font337">
    <w:altName w:val="Times New Roman"/>
    <w:panose1 w:val="00000000000000000000"/>
    <w:charset w:val="00"/>
    <w:family w:val="roman"/>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EzNzM4YjIxZWE1ZDEwMjJhYmFhMzFmZDljNGQzODIifQ=="/>
  </w:docVars>
  <w:rsids>
    <w:rsidRoot w:val="00BA23D3"/>
    <w:rsid w:val="00010075"/>
    <w:rsid w:val="001F7921"/>
    <w:rsid w:val="003D1196"/>
    <w:rsid w:val="004C2A84"/>
    <w:rsid w:val="00516DC0"/>
    <w:rsid w:val="00621045"/>
    <w:rsid w:val="00635962"/>
    <w:rsid w:val="007F4406"/>
    <w:rsid w:val="00833174"/>
    <w:rsid w:val="009B1CBF"/>
    <w:rsid w:val="00AF5B66"/>
    <w:rsid w:val="00BA23D3"/>
    <w:rsid w:val="00EC4DCD"/>
    <w:rsid w:val="00F0159C"/>
    <w:rsid w:val="00FC2DAA"/>
    <w:rsid w:val="03D478E4"/>
    <w:rsid w:val="231B319B"/>
    <w:rsid w:val="265621BC"/>
    <w:rsid w:val="2BEE5F40"/>
    <w:rsid w:val="3F477E1D"/>
    <w:rsid w:val="42D43629"/>
    <w:rsid w:val="531C04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3"/>
    <w:qFormat/>
    <w:uiPriority w:val="0"/>
    <w:pPr>
      <w:keepNext/>
      <w:keepLines/>
      <w:spacing w:before="340" w:after="330" w:line="578" w:lineRule="auto"/>
      <w:outlineLvl w:val="0"/>
    </w:pPr>
    <w:rPr>
      <w:b/>
      <w:bCs/>
      <w:kern w:val="44"/>
      <w:sz w:val="44"/>
      <w:szCs w:val="44"/>
    </w:rPr>
  </w:style>
  <w:style w:type="character" w:default="1" w:styleId="11">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Body Text"/>
    <w:basedOn w:val="1"/>
    <w:qFormat/>
    <w:uiPriority w:val="0"/>
    <w:pPr>
      <w:jc w:val="center"/>
    </w:pPr>
    <w:rPr>
      <w:rFonts w:ascii="宋体" w:hAnsi="宋体"/>
      <w:b/>
      <w:bCs/>
      <w:color w:val="000000"/>
      <w:sz w:val="72"/>
      <w:szCs w:val="20"/>
    </w:rPr>
  </w:style>
  <w:style w:type="paragraph" w:styleId="4">
    <w:name w:val="Body Text Indent"/>
    <w:basedOn w:val="1"/>
    <w:next w:val="1"/>
    <w:qFormat/>
    <w:uiPriority w:val="0"/>
    <w:pPr>
      <w:spacing w:line="360" w:lineRule="exact"/>
      <w:ind w:left="420" w:firstLine="1188"/>
    </w:pPr>
    <w:rPr>
      <w:rFonts w:ascii="Times New Roman" w:hAnsi="Times New Roman" w:cs="Times New Roman"/>
    </w:rPr>
  </w:style>
  <w:style w:type="paragraph" w:styleId="5">
    <w:name w:val="footer"/>
    <w:basedOn w:val="1"/>
    <w:link w:val="17"/>
    <w:qFormat/>
    <w:uiPriority w:val="0"/>
    <w:pPr>
      <w:tabs>
        <w:tab w:val="center" w:pos="4153"/>
        <w:tab w:val="right" w:pos="8306"/>
      </w:tabs>
      <w:snapToGrid w:val="0"/>
      <w:jc w:val="left"/>
    </w:pPr>
    <w:rPr>
      <w:sz w:val="18"/>
      <w:szCs w:val="18"/>
    </w:rPr>
  </w:style>
  <w:style w:type="paragraph" w:styleId="6">
    <w:name w:val="header"/>
    <w:basedOn w:val="1"/>
    <w:link w:val="16"/>
    <w:qFormat/>
    <w:uiPriority w:val="0"/>
    <w:pPr>
      <w:tabs>
        <w:tab w:val="center" w:pos="4153"/>
        <w:tab w:val="right" w:pos="8306"/>
      </w:tabs>
      <w:snapToGrid w:val="0"/>
      <w:jc w:val="center"/>
    </w:pPr>
    <w:rPr>
      <w:sz w:val="18"/>
      <w:szCs w:val="18"/>
    </w:rPr>
  </w:style>
  <w:style w:type="paragraph" w:styleId="7">
    <w:name w:val="Title"/>
    <w:basedOn w:val="1"/>
    <w:next w:val="1"/>
    <w:link w:val="14"/>
    <w:qFormat/>
    <w:uiPriority w:val="0"/>
    <w:pPr>
      <w:spacing w:before="240" w:after="60"/>
      <w:jc w:val="center"/>
      <w:outlineLvl w:val="0"/>
    </w:pPr>
    <w:rPr>
      <w:rFonts w:asciiTheme="majorHAnsi" w:hAnsiTheme="majorHAnsi" w:eastAsiaTheme="majorEastAsia" w:cstheme="majorBidi"/>
      <w:b/>
      <w:bCs/>
      <w:sz w:val="32"/>
      <w:szCs w:val="32"/>
    </w:rPr>
  </w:style>
  <w:style w:type="paragraph" w:styleId="8">
    <w:name w:val="Body Text First Indent 2"/>
    <w:basedOn w:val="4"/>
    <w:unhideWhenUsed/>
    <w:qFormat/>
    <w:uiPriority w:val="0"/>
    <w:pPr>
      <w:ind w:firstLine="420" w:firstLineChars="200"/>
    </w:pPr>
  </w:style>
  <w:style w:type="table" w:styleId="10">
    <w:name w:val="Table Grid"/>
    <w:basedOn w:val="9"/>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首行缩进"/>
    <w:basedOn w:val="1"/>
    <w:qFormat/>
    <w:uiPriority w:val="0"/>
    <w:pPr>
      <w:spacing w:line="360" w:lineRule="auto"/>
      <w:ind w:firstLine="480" w:firstLineChars="200"/>
    </w:pPr>
    <w:rPr>
      <w:sz w:val="24"/>
      <w:lang w:val="zh-CN"/>
    </w:rPr>
  </w:style>
  <w:style w:type="character" w:customStyle="1" w:styleId="13">
    <w:name w:val="标题 1 字符"/>
    <w:basedOn w:val="11"/>
    <w:link w:val="2"/>
    <w:qFormat/>
    <w:uiPriority w:val="0"/>
    <w:rPr>
      <w:rFonts w:asciiTheme="minorHAnsi" w:hAnsiTheme="minorHAnsi" w:eastAsiaTheme="minorEastAsia" w:cstheme="minorBidi"/>
      <w:b/>
      <w:bCs/>
      <w:kern w:val="44"/>
      <w:sz w:val="44"/>
      <w:szCs w:val="44"/>
    </w:rPr>
  </w:style>
  <w:style w:type="character" w:customStyle="1" w:styleId="14">
    <w:name w:val="标题 字符"/>
    <w:basedOn w:val="11"/>
    <w:link w:val="7"/>
    <w:qFormat/>
    <w:uiPriority w:val="0"/>
    <w:rPr>
      <w:rFonts w:asciiTheme="majorHAnsi" w:hAnsiTheme="majorHAnsi" w:eastAsiaTheme="majorEastAsia" w:cstheme="majorBidi"/>
      <w:b/>
      <w:bCs/>
      <w:kern w:val="2"/>
      <w:sz w:val="32"/>
      <w:szCs w:val="32"/>
    </w:rPr>
  </w:style>
  <w:style w:type="paragraph" w:styleId="15">
    <w:name w:val="List Paragraph"/>
    <w:basedOn w:val="1"/>
    <w:qFormat/>
    <w:uiPriority w:val="34"/>
    <w:pPr>
      <w:ind w:left="720"/>
      <w:contextualSpacing/>
    </w:pPr>
    <w:rPr>
      <w:szCs w:val="22"/>
    </w:rPr>
  </w:style>
  <w:style w:type="character" w:customStyle="1" w:styleId="16">
    <w:name w:val="页眉 字符"/>
    <w:basedOn w:val="11"/>
    <w:link w:val="6"/>
    <w:qFormat/>
    <w:uiPriority w:val="0"/>
    <w:rPr>
      <w:rFonts w:asciiTheme="minorHAnsi" w:hAnsiTheme="minorHAnsi" w:eastAsiaTheme="minorEastAsia" w:cstheme="minorBidi"/>
      <w:kern w:val="2"/>
      <w:sz w:val="18"/>
      <w:szCs w:val="18"/>
    </w:rPr>
  </w:style>
  <w:style w:type="character" w:customStyle="1" w:styleId="17">
    <w:name w:val="页脚 字符"/>
    <w:basedOn w:val="11"/>
    <w:link w:val="5"/>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1683</Words>
  <Characters>1691</Characters>
  <Lines>47</Lines>
  <Paragraphs>54</Paragraphs>
  <TotalTime>73</TotalTime>
  <ScaleCrop>false</ScaleCrop>
  <LinksUpToDate>false</LinksUpToDate>
  <CharactersWithSpaces>1691</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2024-11-06T02:43:00Z</dcterms:created>
  <dc:creator>Administrator</dc:creator>
  <cp:lastModifiedBy>刘永琴</cp:lastModifiedBy>
  <dcterms:modified xsi:type="dcterms:W3CDTF">2026-04-17T01:01:45Z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BDC41D7E092B4CBCA2B54B5E8520DE37_12</vt:lpwstr>
  </property>
  <property fmtid="{D5CDD505-2E9C-101B-9397-08002B2CF9AE}" pid="4" name="KSOTemplateDocerSaveRecord">
    <vt:lpwstr>eyJoZGlkIjoiZmMyMGM3MjRhNmZlNDkxZWY3OTVjOWI5Zjg4MzVhZGMiLCJ1c2VySWQiOiI1NDcxMDkxNzMifQ==</vt:lpwstr>
  </property>
</Properties>
</file>