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CEF95">
      <w:pPr>
        <w:spacing w:before="480" w:after="480" w:line="288" w:lineRule="auto"/>
        <w:jc w:val="center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b/>
          <w:sz w:val="28"/>
          <w:szCs w:val="28"/>
        </w:rPr>
        <w:t>麻醉药品精细化管理相关设备及软件产品调研</w:t>
      </w:r>
    </w:p>
    <w:p w14:paraId="66CFD6B5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为进一步规范我院麻醉、精神药品精细化全流程管理，优化药品存放、领用、处置、冷藏追溯管理体系，保障临床用药安全合规、全程可溯，我院针对麻精药品管理相关设备、软件产品及配套服务，专项调研。现将调研相关事项通告如下：</w:t>
      </w:r>
    </w:p>
    <w:p w14:paraId="4E6CC4B4">
      <w:pPr>
        <w:spacing w:before="320" w:after="120" w:line="288" w:lineRule="auto"/>
        <w:outlineLvl w:val="1"/>
        <w:rPr>
          <w:rFonts w:ascii="宋体" w:hAnsi="宋体" w:eastAsia="宋体"/>
          <w:sz w:val="24"/>
        </w:rPr>
      </w:pPr>
      <w:bookmarkStart w:id="0" w:name="heading_0"/>
      <w:r>
        <w:rPr>
          <w:rFonts w:ascii="宋体" w:hAnsi="宋体" w:eastAsia="宋体" w:cs="Arial"/>
          <w:b/>
          <w:sz w:val="24"/>
        </w:rPr>
        <w:t>一、目的</w:t>
      </w:r>
      <w:bookmarkEnd w:id="0"/>
    </w:p>
    <w:p w14:paraId="3DC31D42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Arial"/>
          <w:sz w:val="24"/>
        </w:rPr>
        <w:t>具备</w:t>
      </w:r>
      <w:r>
        <w:rPr>
          <w:rFonts w:ascii="宋体" w:hAnsi="宋体" w:eastAsia="宋体" w:cs="Arial"/>
          <w:sz w:val="24"/>
        </w:rPr>
        <w:t>合规麻精药品管理设备、信息化软件产品的功能配置、运行成效及行业应用情况，筛选适配我院</w:t>
      </w:r>
      <w:r>
        <w:rPr>
          <w:rFonts w:hint="eastAsia" w:ascii="宋体" w:hAnsi="宋体" w:eastAsia="宋体" w:cs="Arial"/>
          <w:sz w:val="24"/>
        </w:rPr>
        <w:t>药品精细化追溯管理</w:t>
      </w:r>
      <w:r>
        <w:rPr>
          <w:rFonts w:ascii="宋体" w:hAnsi="宋体" w:eastAsia="宋体" w:cs="Arial"/>
          <w:sz w:val="24"/>
        </w:rPr>
        <w:t>、扫码开箱、残液摄录、冷藏药品管控等全流程精细化管理需求的产品及配套方案，补齐管理短板，提升我院麻精药品规范化、精细化管理水平。</w:t>
      </w:r>
    </w:p>
    <w:p w14:paraId="6BE7935D">
      <w:pPr>
        <w:spacing w:before="320" w:after="120" w:line="288" w:lineRule="auto"/>
        <w:outlineLvl w:val="1"/>
        <w:rPr>
          <w:rFonts w:ascii="宋体" w:hAnsi="宋体" w:eastAsia="宋体"/>
          <w:sz w:val="24"/>
        </w:rPr>
      </w:pPr>
      <w:bookmarkStart w:id="1" w:name="heading_2"/>
      <w:r>
        <w:rPr>
          <w:rFonts w:hint="eastAsia" w:ascii="宋体" w:hAnsi="宋体" w:eastAsia="宋体" w:cs="Arial"/>
          <w:b/>
          <w:sz w:val="24"/>
        </w:rPr>
        <w:t>二</w:t>
      </w:r>
      <w:r>
        <w:rPr>
          <w:rFonts w:ascii="宋体" w:hAnsi="宋体" w:eastAsia="宋体" w:cs="Arial"/>
          <w:b/>
          <w:sz w:val="24"/>
        </w:rPr>
        <w:t>、核心</w:t>
      </w:r>
      <w:r>
        <w:rPr>
          <w:rFonts w:hint="eastAsia" w:ascii="宋体" w:hAnsi="宋体" w:eastAsia="宋体" w:cs="Arial"/>
          <w:b/>
          <w:sz w:val="24"/>
        </w:rPr>
        <w:t>需求</w:t>
      </w:r>
      <w:r>
        <w:rPr>
          <w:rFonts w:ascii="宋体" w:hAnsi="宋体" w:eastAsia="宋体" w:cs="Arial"/>
          <w:b/>
          <w:sz w:val="24"/>
        </w:rPr>
        <w:t>内容</w:t>
      </w:r>
      <w:bookmarkEnd w:id="1"/>
    </w:p>
    <w:p w14:paraId="2E0D54DA">
      <w:pPr>
        <w:spacing w:before="300" w:after="120" w:line="288" w:lineRule="auto"/>
        <w:outlineLvl w:val="2"/>
        <w:rPr>
          <w:rFonts w:ascii="宋体" w:hAnsi="宋体" w:eastAsia="宋体"/>
          <w:sz w:val="24"/>
        </w:rPr>
      </w:pPr>
      <w:bookmarkStart w:id="2" w:name="heading_3"/>
      <w:r>
        <w:rPr>
          <w:rFonts w:ascii="宋体" w:hAnsi="宋体" w:eastAsia="宋体" w:cs="Arial"/>
          <w:b/>
          <w:sz w:val="24"/>
        </w:rPr>
        <w:t>（一）硬件设备</w:t>
      </w:r>
      <w:bookmarkEnd w:id="2"/>
    </w:p>
    <w:p w14:paraId="507CF64D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适配麻精药品管理的专用设备，包含单人专用存储药箱、加密存放柜体、麻精药品专用冷藏存储设备、扫码设备等。核查设备合规性、稳定性、基础性能、日常运维保障能力，确保设备可满足单人单箱存</w:t>
      </w:r>
      <w:r>
        <w:rPr>
          <w:rFonts w:hint="eastAsia" w:ascii="宋体" w:hAnsi="宋体" w:eastAsia="宋体" w:cs="Arial"/>
          <w:sz w:val="24"/>
        </w:rPr>
        <w:t>取</w:t>
      </w:r>
      <w:r>
        <w:rPr>
          <w:rFonts w:ascii="宋体" w:hAnsi="宋体" w:eastAsia="宋体" w:cs="Arial"/>
          <w:sz w:val="24"/>
        </w:rPr>
        <w:t>、</w:t>
      </w:r>
      <w:r>
        <w:rPr>
          <w:rFonts w:hint="eastAsia" w:ascii="宋体" w:hAnsi="宋体" w:eastAsia="宋体" w:cs="Arial"/>
          <w:sz w:val="24"/>
        </w:rPr>
        <w:t>药品</w:t>
      </w:r>
      <w:r>
        <w:rPr>
          <w:rFonts w:ascii="宋体" w:hAnsi="宋体" w:eastAsia="宋体" w:cs="Arial"/>
          <w:sz w:val="24"/>
        </w:rPr>
        <w:t>存储、影像留存、扫码识别等基础管理需求。</w:t>
      </w:r>
      <w:r>
        <w:rPr>
          <w:rFonts w:hint="eastAsia" w:ascii="宋体" w:hAnsi="宋体" w:eastAsia="宋体" w:cs="Arial"/>
          <w:sz w:val="24"/>
        </w:rPr>
        <w:t>手麻智能套餐柜：包含≥82个柜格；药品周转箱带蓝牙锁≥100套；PDA≥35个；医用冰箱带蓝牙锁2台。</w:t>
      </w:r>
    </w:p>
    <w:p w14:paraId="6501D045">
      <w:pPr>
        <w:spacing w:before="300" w:after="120" w:line="288" w:lineRule="auto"/>
        <w:outlineLvl w:val="2"/>
        <w:rPr>
          <w:rFonts w:ascii="宋体" w:hAnsi="宋体" w:eastAsia="宋体"/>
          <w:sz w:val="24"/>
        </w:rPr>
      </w:pPr>
      <w:bookmarkStart w:id="3" w:name="heading_4"/>
      <w:r>
        <w:rPr>
          <w:rFonts w:ascii="宋体" w:hAnsi="宋体" w:eastAsia="宋体" w:cs="Arial"/>
          <w:b/>
          <w:sz w:val="24"/>
        </w:rPr>
        <w:t>（二）软件系统</w:t>
      </w:r>
      <w:bookmarkEnd w:id="3"/>
    </w:p>
    <w:p w14:paraId="119FE147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麻精药品管理APP及配套信息化管理系统的核心功能与运行性能，系统支持药品APP扫码开箱登记、领用信息留痕、全程数据溯源、残液处置影像存档、温控数据关联记录、台账自动统计等功能。系统操作便捷性、数据准确性、运行稳定性及行业适配性。</w:t>
      </w:r>
      <w:r>
        <w:rPr>
          <w:rFonts w:hint="eastAsia" w:ascii="宋体" w:hAnsi="宋体" w:eastAsia="宋体" w:cs="Arial"/>
          <w:sz w:val="24"/>
        </w:rPr>
        <w:t>另配备服务器一套。</w:t>
      </w:r>
    </w:p>
    <w:p w14:paraId="3D921E16">
      <w:pPr>
        <w:spacing w:before="300" w:after="120" w:line="288" w:lineRule="auto"/>
        <w:outlineLvl w:val="2"/>
        <w:rPr>
          <w:rFonts w:ascii="宋体" w:hAnsi="宋体" w:eastAsia="宋体"/>
          <w:sz w:val="24"/>
        </w:rPr>
      </w:pPr>
      <w:bookmarkStart w:id="4" w:name="heading_5"/>
      <w:r>
        <w:rPr>
          <w:rFonts w:ascii="宋体" w:hAnsi="宋体" w:eastAsia="宋体" w:cs="Arial"/>
          <w:b/>
          <w:sz w:val="24"/>
        </w:rPr>
        <w:t>（三）专项管理适配</w:t>
      </w:r>
      <w:bookmarkEnd w:id="4"/>
    </w:p>
    <w:p w14:paraId="2998FBCC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1. 单人单箱台清管理：产品、方案对麻精药品单人专箱存放、专人管理、每班清点核对、台账登记的适配支撑能力。</w:t>
      </w:r>
    </w:p>
    <w:p w14:paraId="6D0097B9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2. APP扫描开箱管理：扫码开箱、信息登记、全程留痕、溯源查询的完整落地能力。</w:t>
      </w:r>
    </w:p>
    <w:p w14:paraId="4AC99383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3. 残液摄录管理：支持麻精药品残液处置全程影像摄录、存档备查、流程追溯的功能配置。</w:t>
      </w:r>
    </w:p>
    <w:p w14:paraId="322CD372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4. 冷藏麻精药品管理：冷藏设备及配套系统的恒温控制、实时测温、异常预警、温控记录留存、药品分区效期管理等相关能力。</w:t>
      </w:r>
    </w:p>
    <w:p w14:paraId="7CB8817F">
      <w:pPr>
        <w:spacing w:before="320" w:after="120" w:line="288" w:lineRule="auto"/>
        <w:outlineLvl w:val="1"/>
        <w:rPr>
          <w:rFonts w:ascii="宋体" w:hAnsi="宋体" w:eastAsia="宋体"/>
          <w:sz w:val="24"/>
        </w:rPr>
      </w:pPr>
      <w:bookmarkStart w:id="5" w:name="heading_6"/>
      <w:bookmarkStart w:id="6" w:name="OLE_LINK1"/>
      <w:bookmarkStart w:id="7" w:name="OLE_LINK2"/>
      <w:r>
        <w:rPr>
          <w:rFonts w:hint="eastAsia" w:ascii="宋体" w:hAnsi="宋体" w:eastAsia="宋体" w:cs="Arial"/>
          <w:b/>
          <w:sz w:val="24"/>
        </w:rPr>
        <w:t>三</w:t>
      </w:r>
      <w:r>
        <w:rPr>
          <w:rFonts w:ascii="宋体" w:hAnsi="宋体" w:eastAsia="宋体" w:cs="Arial"/>
          <w:b/>
          <w:sz w:val="24"/>
        </w:rPr>
        <w:t>、相关要求</w:t>
      </w:r>
      <w:bookmarkEnd w:id="5"/>
    </w:p>
    <w:bookmarkEnd w:id="6"/>
    <w:bookmarkEnd w:id="7"/>
    <w:p w14:paraId="4D4CD11C">
      <w:pPr>
        <w:spacing w:before="120" w:after="120" w:line="288" w:lineRule="auto"/>
        <w:rPr>
          <w:rFonts w:ascii="宋体" w:hAnsi="宋体" w:eastAsia="宋体"/>
          <w:sz w:val="24"/>
        </w:rPr>
      </w:pPr>
      <w:r>
        <w:rPr>
          <w:rFonts w:ascii="宋体" w:hAnsi="宋体" w:eastAsia="宋体" w:cs="Arial"/>
          <w:sz w:val="24"/>
        </w:rPr>
        <w:t>各参与调研厂家</w:t>
      </w:r>
      <w:r>
        <w:rPr>
          <w:rFonts w:hint="eastAsia" w:ascii="宋体" w:hAnsi="宋体" w:eastAsia="宋体" w:cs="Arial"/>
          <w:sz w:val="24"/>
        </w:rPr>
        <w:t>提供</w:t>
      </w:r>
      <w:r>
        <w:rPr>
          <w:rFonts w:ascii="宋体" w:hAnsi="宋体" w:eastAsia="宋体" w:cs="Arial"/>
          <w:sz w:val="24"/>
        </w:rPr>
        <w:t>本次</w:t>
      </w:r>
      <w:r>
        <w:rPr>
          <w:rFonts w:hint="eastAsia" w:ascii="宋体" w:hAnsi="宋体" w:eastAsia="宋体" w:cs="Arial"/>
          <w:sz w:val="24"/>
        </w:rPr>
        <w:t>管理</w:t>
      </w:r>
      <w:r>
        <w:rPr>
          <w:rFonts w:ascii="宋体" w:hAnsi="宋体" w:eastAsia="宋体" w:cs="Arial"/>
          <w:sz w:val="24"/>
        </w:rPr>
        <w:t>方案</w:t>
      </w:r>
      <w:r>
        <w:rPr>
          <w:rFonts w:hint="eastAsia" w:ascii="宋体" w:hAnsi="宋体" w:eastAsia="宋体" w:cs="Arial"/>
          <w:sz w:val="24"/>
        </w:rPr>
        <w:t>和运行流程</w:t>
      </w:r>
      <w:r>
        <w:rPr>
          <w:rFonts w:ascii="宋体" w:hAnsi="宋体" w:eastAsia="宋体" w:cs="Arial"/>
          <w:sz w:val="24"/>
        </w:rPr>
        <w:t>，需提供产品资质、设备参数、软件功能说明、行业应用案例、运维保障服务等相关资料，确保信息真实有效、合规合法。</w:t>
      </w:r>
    </w:p>
    <w:p w14:paraId="404E09D6">
      <w:pPr>
        <w:spacing w:before="320" w:after="120" w:line="288" w:lineRule="auto"/>
        <w:outlineLvl w:val="1"/>
        <w:rPr>
          <w:rFonts w:ascii="宋体" w:hAnsi="宋体" w:eastAsia="宋体" w:cs="Arial"/>
          <w:b/>
          <w:sz w:val="24"/>
        </w:rPr>
      </w:pPr>
      <w:r>
        <w:rPr>
          <w:rFonts w:hint="eastAsia" w:ascii="宋体" w:hAnsi="宋体" w:eastAsia="宋体" w:cs="Arial"/>
          <w:b/>
          <w:sz w:val="24"/>
        </w:rPr>
        <w:t>四</w:t>
      </w:r>
      <w:r>
        <w:rPr>
          <w:rFonts w:ascii="宋体" w:hAnsi="宋体" w:eastAsia="宋体" w:cs="Arial"/>
          <w:b/>
          <w:sz w:val="24"/>
        </w:rPr>
        <w:t>、</w:t>
      </w:r>
      <w:r>
        <w:rPr>
          <w:rFonts w:hint="eastAsia" w:ascii="宋体" w:hAnsi="宋体" w:eastAsia="宋体" w:cs="Arial"/>
          <w:b/>
          <w:sz w:val="24"/>
        </w:rPr>
        <w:t>场地要求</w:t>
      </w:r>
    </w:p>
    <w:p w14:paraId="47B0418E">
      <w:pPr>
        <w:spacing w:before="320" w:after="120" w:line="288" w:lineRule="auto"/>
        <w:outlineLvl w:val="1"/>
        <w:rPr>
          <w:rFonts w:hint="eastAsia" w:ascii="宋体" w:hAnsi="宋体" w:eastAsia="宋体" w:cs="Arial"/>
          <w:b/>
          <w:sz w:val="24"/>
        </w:rPr>
      </w:pPr>
      <w:r>
        <w:rPr>
          <w:rFonts w:hint="eastAsia" w:ascii="宋体" w:hAnsi="宋体" w:eastAsia="宋体" w:cs="Arial"/>
          <w:b/>
          <w:sz w:val="24"/>
        </w:rPr>
        <w:t>按场地基建图纸</w:t>
      </w:r>
      <w:r>
        <w:rPr>
          <w:rFonts w:hint="eastAsia" w:ascii="宋体" w:hAnsi="宋体" w:eastAsia="宋体" w:cs="Arial"/>
          <w:b/>
          <w:sz w:val="24"/>
          <w:lang w:eastAsia="zh-CN"/>
        </w:rPr>
        <w:t>（</w:t>
      </w:r>
      <w:r>
        <w:rPr>
          <w:rFonts w:hint="eastAsia" w:ascii="宋体" w:hAnsi="宋体" w:eastAsia="宋体" w:cs="Arial"/>
          <w:b/>
          <w:sz w:val="24"/>
          <w:lang w:val="en-US" w:eastAsia="zh-CN"/>
        </w:rPr>
        <w:t>见附件2）</w:t>
      </w:r>
      <w:r>
        <w:rPr>
          <w:rFonts w:hint="eastAsia" w:ascii="宋体" w:hAnsi="宋体" w:eastAsia="宋体" w:cs="Arial"/>
          <w:b/>
          <w:sz w:val="24"/>
        </w:rPr>
        <w:t>设计各项功能需求，提供设计平面图纸</w:t>
      </w:r>
    </w:p>
    <w:p w14:paraId="306AB64D">
      <w:pPr>
        <w:spacing w:before="120" w:after="120" w:line="288" w:lineRule="auto"/>
        <w:rPr>
          <w:rFonts w:ascii="宋体" w:hAnsi="宋体" w:eastAsia="宋体"/>
          <w:sz w:val="24"/>
        </w:rPr>
      </w:pPr>
      <w:bookmarkStart w:id="8" w:name="_GoBack"/>
      <w:bookmarkEnd w:id="8"/>
    </w:p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A24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D7E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BD"/>
    <w:rsid w:val="00125ABD"/>
    <w:rsid w:val="002C7746"/>
    <w:rsid w:val="00370EA1"/>
    <w:rsid w:val="004754FB"/>
    <w:rsid w:val="00573948"/>
    <w:rsid w:val="006A2C83"/>
    <w:rsid w:val="008C4C9F"/>
    <w:rsid w:val="00940205"/>
    <w:rsid w:val="00B66594"/>
    <w:rsid w:val="00C947DE"/>
    <w:rsid w:val="00D60042"/>
    <w:rsid w:val="3A04434A"/>
    <w:rsid w:val="7CDA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852</Words>
  <Characters>868</Characters>
  <Lines>6</Lines>
  <Paragraphs>1</Paragraphs>
  <TotalTime>20</TotalTime>
  <ScaleCrop>false</ScaleCrop>
  <LinksUpToDate>false</LinksUpToDate>
  <CharactersWithSpaces>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2026-07-24T06:35:00Z</dcterms:created>
  <dc:creator>Apache POI</dc:creator>
  <cp:lastModifiedBy>刘永琴</cp:lastModifiedBy>
  <dcterms:modified xsi:type="dcterms:W3CDTF">2026-07-27T00:58:46Z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{"Label":"1","ContentProducer":"001191110102MACQD9K64010000","ProduceID":"7665887967278419183","ReservedCode1":"","ContentPropagator":"","PropagateID":"","ReservedCode2":""}</vt:lpwstr>
  </property>
  <property fmtid="{D5CDD505-2E9C-101B-9397-08002B2CF9AE}" pid="3" name="KSOTemplateDocerSaveRecord">
    <vt:lpwstr>eyJoZGlkIjoiMzExMzA2OWE1NzMwYWI4YTE3MjYxMTEyOWM2NTNhMmEiLCJ1c2VySWQiOiI1NDcxMDkxNzMifQ==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262EBE5888CE41B8A7E1EAB3A1B30E3F_12</vt:lpwstr>
  </property>
</Properties>
</file>