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20849">
      <w:pPr>
        <w:pStyle w:val="16"/>
        <w:keepNext/>
        <w:keepLines/>
        <w:spacing w:after="330" w:line="360" w:lineRule="auto"/>
        <w:ind w:firstLine="0" w:firstLineChars="0"/>
        <w:outlineLvl w:val="0"/>
        <w:rPr>
          <w:rFonts w:hint="eastAsia" w:ascii="宋体" w:hAnsi="宋体" w:eastAsia="宋体" w:cs="宋体"/>
          <w:b/>
          <w:bCs/>
          <w:color w:val="000000" w:themeColor="text1"/>
          <w:kern w:val="44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auto"/>
          <w:sz w:val="44"/>
          <w:szCs w:val="44"/>
        </w:rPr>
        <w:t>AI病历内涵质控+生成系统调研需求</w:t>
      </w:r>
    </w:p>
    <w:p w14:paraId="25ED876B">
      <w:pPr>
        <w:pStyle w:val="16"/>
        <w:keepNext/>
        <w:keepLines/>
        <w:numPr>
          <w:ilvl w:val="0"/>
          <w:numId w:val="2"/>
        </w:numPr>
        <w:spacing w:after="330" w:line="360" w:lineRule="auto"/>
        <w:ind w:firstLineChars="0"/>
        <w:outlineLvl w:val="0"/>
        <w:rPr>
          <w:rFonts w:hint="eastAsia" w:ascii="宋体" w:hAnsi="宋体" w:eastAsia="宋体" w:cs="宋体"/>
          <w:b/>
          <w:bCs/>
          <w:color w:val="000000" w:themeColor="text1"/>
          <w:kern w:val="44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44"/>
          <w:sz w:val="28"/>
          <w:szCs w:val="28"/>
          <w14:textFill>
            <w14:solidFill>
              <w14:schemeClr w14:val="tx1"/>
            </w14:solidFill>
          </w14:textFill>
        </w:rPr>
        <w:t>项目要求</w:t>
      </w:r>
    </w:p>
    <w:tbl>
      <w:tblPr>
        <w:tblStyle w:val="8"/>
        <w:tblW w:w="809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4673"/>
        <w:gridCol w:w="1140"/>
        <w:gridCol w:w="1140"/>
      </w:tblGrid>
      <w:tr w14:paraId="03C56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996A450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32A553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A1536F7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1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0C43F84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14:paraId="57C1D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6B308E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D6947A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AI病历内涵质控+生成系统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AEF12C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6DC2D47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3278CD8A">
      <w:pPr>
        <w:pStyle w:val="16"/>
        <w:keepNext/>
        <w:keepLines/>
        <w:numPr>
          <w:ilvl w:val="0"/>
          <w:numId w:val="2"/>
        </w:numPr>
        <w:spacing w:after="330" w:line="360" w:lineRule="auto"/>
        <w:ind w:firstLineChars="0"/>
        <w:outlineLvl w:val="0"/>
        <w:rPr>
          <w:rFonts w:hint="eastAsia" w:ascii="宋体" w:hAnsi="宋体" w:eastAsia="宋体" w:cs="宋体"/>
          <w:b/>
          <w:bCs/>
          <w:color w:val="000000" w:themeColor="text1"/>
          <w:kern w:val="44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44"/>
          <w:sz w:val="28"/>
          <w:szCs w:val="28"/>
          <w14:textFill>
            <w14:solidFill>
              <w14:schemeClr w14:val="tx1"/>
            </w14:solidFill>
          </w14:textFill>
        </w:rPr>
        <w:t>软件功能模块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30" w:type="dxa"/>
          <w:bottom w:w="0" w:type="dxa"/>
          <w:right w:w="30" w:type="dxa"/>
        </w:tblCellMar>
      </w:tblPr>
      <w:tblGrid>
        <w:gridCol w:w="1163"/>
        <w:gridCol w:w="1946"/>
        <w:gridCol w:w="5187"/>
      </w:tblGrid>
      <w:tr w14:paraId="48473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shd w:val="clear" w:color="auto" w:fill="FFFFFF" w:themeFill="background1"/>
            <w:vAlign w:val="center"/>
          </w:tcPr>
          <w:p w14:paraId="06EACD2E">
            <w:pPr>
              <w:autoSpaceDE w:val="0"/>
              <w:autoSpaceDN w:val="0"/>
              <w:ind w:firstLine="42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序号</w:t>
            </w:r>
          </w:p>
        </w:tc>
        <w:tc>
          <w:tcPr>
            <w:tcW w:w="1173" w:type="pct"/>
            <w:shd w:val="clear" w:color="auto" w:fill="FFFFFF" w:themeFill="background1"/>
            <w:vAlign w:val="center"/>
          </w:tcPr>
          <w:p w14:paraId="78CE1322">
            <w:pPr>
              <w:autoSpaceDE w:val="0"/>
              <w:autoSpaceDN w:val="0"/>
              <w:ind w:firstLine="42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模块</w:t>
            </w:r>
          </w:p>
        </w:tc>
        <w:tc>
          <w:tcPr>
            <w:tcW w:w="3126" w:type="pct"/>
            <w:shd w:val="clear" w:color="auto" w:fill="FFFFFF" w:themeFill="background1"/>
            <w:vAlign w:val="center"/>
          </w:tcPr>
          <w:p w14:paraId="14C0ECC0">
            <w:pPr>
              <w:autoSpaceDE w:val="0"/>
              <w:autoSpaceDN w:val="0"/>
              <w:ind w:firstLine="42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建设内容</w:t>
            </w:r>
          </w:p>
        </w:tc>
      </w:tr>
      <w:tr w14:paraId="13F81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restart"/>
            <w:vAlign w:val="center"/>
          </w:tcPr>
          <w:p w14:paraId="6FF136CF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173" w:type="pct"/>
            <w:vMerge w:val="restart"/>
            <w:vAlign w:val="center"/>
          </w:tcPr>
          <w:p w14:paraId="13D0867B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数据治疗平台</w:t>
            </w:r>
          </w:p>
        </w:tc>
        <w:tc>
          <w:tcPr>
            <w:tcW w:w="3126" w:type="pct"/>
            <w:vAlign w:val="center"/>
          </w:tcPr>
          <w:p w14:paraId="41C3EA16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前端数据采集</w:t>
            </w:r>
          </w:p>
        </w:tc>
      </w:tr>
      <w:tr w14:paraId="4B963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3003603C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0C8FBA90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00F4D4D9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数据采集、映射、清洗</w:t>
            </w:r>
          </w:p>
        </w:tc>
      </w:tr>
      <w:tr w14:paraId="1EFDF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5C6C61B1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44ECAAA0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465AA879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数据后结构化处理</w:t>
            </w:r>
          </w:p>
        </w:tc>
      </w:tr>
      <w:tr w14:paraId="04E6B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restart"/>
            <w:vAlign w:val="center"/>
          </w:tcPr>
          <w:p w14:paraId="0FE4D1CE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1173" w:type="pct"/>
            <w:vMerge w:val="restart"/>
            <w:vAlign w:val="center"/>
          </w:tcPr>
          <w:p w14:paraId="58518382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门诊病历质量控制</w:t>
            </w:r>
          </w:p>
        </w:tc>
        <w:tc>
          <w:tcPr>
            <w:tcW w:w="3126" w:type="pct"/>
            <w:vAlign w:val="center"/>
          </w:tcPr>
          <w:p w14:paraId="4A2EEA7E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门诊医生端智能辅助</w:t>
            </w:r>
          </w:p>
        </w:tc>
      </w:tr>
      <w:tr w14:paraId="54537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22DCC385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0A458BAD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290C34D4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病历审核端功能</w:t>
            </w:r>
          </w:p>
        </w:tc>
      </w:tr>
      <w:tr w14:paraId="4CA4E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225722AA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03D99A6B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4E05B95C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统计分析</w:t>
            </w:r>
          </w:p>
        </w:tc>
      </w:tr>
      <w:tr w14:paraId="70E10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6DD7F3AE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10AC3926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3A191FAD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门诊病历形式质控点</w:t>
            </w:r>
          </w:p>
        </w:tc>
      </w:tr>
      <w:tr w14:paraId="05DF6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03771F89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0C018DAF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32A52DEB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门诊病历内涵质控点</w:t>
            </w:r>
          </w:p>
        </w:tc>
      </w:tr>
      <w:tr w14:paraId="63F92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restart"/>
            <w:vAlign w:val="center"/>
          </w:tcPr>
          <w:p w14:paraId="662B7499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</w:t>
            </w:r>
          </w:p>
        </w:tc>
        <w:tc>
          <w:tcPr>
            <w:tcW w:w="1173" w:type="pct"/>
            <w:vMerge w:val="restart"/>
            <w:vAlign w:val="center"/>
          </w:tcPr>
          <w:p w14:paraId="2C250725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住院病历质量控制</w:t>
            </w:r>
          </w:p>
        </w:tc>
        <w:tc>
          <w:tcPr>
            <w:tcW w:w="3126" w:type="pct"/>
            <w:vAlign w:val="center"/>
          </w:tcPr>
          <w:p w14:paraId="238FF00F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住院医生端智能辅助</w:t>
            </w:r>
          </w:p>
        </w:tc>
      </w:tr>
      <w:tr w14:paraId="3DCF7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69221FBB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5D283C66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6BA1EB5F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病历审核</w:t>
            </w:r>
          </w:p>
        </w:tc>
      </w:tr>
      <w:tr w14:paraId="2AE25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5C45BEE3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7AB8F469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24855A34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统计分析</w:t>
            </w:r>
          </w:p>
        </w:tc>
      </w:tr>
      <w:tr w14:paraId="0AF4E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478ADC97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353D5E9A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0E631A4E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住院病历形式质控点</w:t>
            </w:r>
          </w:p>
        </w:tc>
      </w:tr>
      <w:tr w14:paraId="07FE7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711F772D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5F2BE82A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327685F9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住院病历内涵质控点</w:t>
            </w:r>
          </w:p>
        </w:tc>
      </w:tr>
      <w:tr w14:paraId="71BA1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restart"/>
            <w:vAlign w:val="center"/>
          </w:tcPr>
          <w:p w14:paraId="4953FE34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4</w:t>
            </w:r>
          </w:p>
        </w:tc>
        <w:tc>
          <w:tcPr>
            <w:tcW w:w="1173" w:type="pct"/>
            <w:vMerge w:val="restart"/>
            <w:vAlign w:val="center"/>
          </w:tcPr>
          <w:p w14:paraId="364BE868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病案首页质量控制（含编码质控）</w:t>
            </w:r>
          </w:p>
        </w:tc>
        <w:tc>
          <w:tcPr>
            <w:tcW w:w="3126" w:type="pct"/>
            <w:vAlign w:val="center"/>
          </w:tcPr>
          <w:p w14:paraId="191FBD9E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事前提醒：编码员实时质控</w:t>
            </w:r>
          </w:p>
        </w:tc>
      </w:tr>
      <w:tr w14:paraId="25DF0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0AEE32F8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6F261A00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23C05DE6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病案端智能辅助</w:t>
            </w:r>
          </w:p>
        </w:tc>
      </w:tr>
      <w:tr w14:paraId="797DE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78808354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753B2FAA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7AA07A3A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病案质量分析</w:t>
            </w:r>
          </w:p>
        </w:tc>
      </w:tr>
      <w:tr w14:paraId="55103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6EBE4F4D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15F5238D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7861A552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病案首页质控点（形式+内涵）</w:t>
            </w:r>
          </w:p>
        </w:tc>
      </w:tr>
      <w:tr w14:paraId="11891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6A2CDA05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55B4F371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19EC1909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编码质控点</w:t>
            </w:r>
          </w:p>
        </w:tc>
      </w:tr>
      <w:tr w14:paraId="6A45F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Align w:val="center"/>
          </w:tcPr>
          <w:p w14:paraId="5492D18D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5</w:t>
            </w:r>
          </w:p>
        </w:tc>
        <w:tc>
          <w:tcPr>
            <w:tcW w:w="1173" w:type="pct"/>
            <w:vAlign w:val="center"/>
          </w:tcPr>
          <w:p w14:paraId="1F7DE3CB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罕见病风险预警</w:t>
            </w:r>
          </w:p>
        </w:tc>
        <w:tc>
          <w:tcPr>
            <w:tcW w:w="3126" w:type="pct"/>
            <w:vAlign w:val="center"/>
          </w:tcPr>
          <w:p w14:paraId="3B98A6DB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罕见病风险预警</w:t>
            </w:r>
          </w:p>
        </w:tc>
      </w:tr>
      <w:tr w14:paraId="745CE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restart"/>
            <w:vAlign w:val="center"/>
          </w:tcPr>
          <w:p w14:paraId="1A21685C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6</w:t>
            </w:r>
          </w:p>
        </w:tc>
        <w:tc>
          <w:tcPr>
            <w:tcW w:w="1173" w:type="pct"/>
            <w:vMerge w:val="restart"/>
            <w:vAlign w:val="center"/>
          </w:tcPr>
          <w:p w14:paraId="0EAD3FBB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配置引擎</w:t>
            </w:r>
          </w:p>
        </w:tc>
        <w:tc>
          <w:tcPr>
            <w:tcW w:w="3126" w:type="pct"/>
            <w:vAlign w:val="center"/>
          </w:tcPr>
          <w:p w14:paraId="2772A627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质控点管理</w:t>
            </w:r>
          </w:p>
        </w:tc>
      </w:tr>
      <w:tr w14:paraId="37E64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2B63A61A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28E80C16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69247D42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评分表配置</w:t>
            </w:r>
          </w:p>
        </w:tc>
      </w:tr>
      <w:tr w14:paraId="16E8A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Align w:val="center"/>
          </w:tcPr>
          <w:p w14:paraId="177C82C9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7</w:t>
            </w:r>
          </w:p>
        </w:tc>
        <w:tc>
          <w:tcPr>
            <w:tcW w:w="1173" w:type="pct"/>
            <w:vAlign w:val="center"/>
          </w:tcPr>
          <w:p w14:paraId="1EB21065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系统设置</w:t>
            </w:r>
          </w:p>
        </w:tc>
        <w:tc>
          <w:tcPr>
            <w:tcW w:w="3126" w:type="pct"/>
            <w:vAlign w:val="center"/>
          </w:tcPr>
          <w:p w14:paraId="302BAF16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用户管理、功能权限、数据权限、质控级别、质控组维护</w:t>
            </w:r>
          </w:p>
        </w:tc>
      </w:tr>
      <w:tr w14:paraId="07925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restart"/>
            <w:vAlign w:val="center"/>
          </w:tcPr>
          <w:p w14:paraId="7597FC9F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8</w:t>
            </w:r>
          </w:p>
        </w:tc>
        <w:tc>
          <w:tcPr>
            <w:tcW w:w="1173" w:type="pct"/>
            <w:vMerge w:val="restart"/>
            <w:vAlign w:val="center"/>
          </w:tcPr>
          <w:p w14:paraId="62C35A91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门诊病历生成</w:t>
            </w:r>
          </w:p>
        </w:tc>
        <w:tc>
          <w:tcPr>
            <w:tcW w:w="3126" w:type="pct"/>
            <w:vAlign w:val="center"/>
          </w:tcPr>
          <w:p w14:paraId="7B7661C9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交互模式</w:t>
            </w:r>
          </w:p>
        </w:tc>
      </w:tr>
      <w:tr w14:paraId="6F5BE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145BEEDE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25E785BA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3E020A8F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智能语音录入</w:t>
            </w:r>
          </w:p>
        </w:tc>
      </w:tr>
      <w:tr w14:paraId="0055A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35021219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2B7D1822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79139C07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硬件设备适配</w:t>
            </w:r>
          </w:p>
        </w:tc>
      </w:tr>
      <w:tr w14:paraId="15CF5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707E2D15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3394801C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63036F3D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结构化生成</w:t>
            </w:r>
          </w:p>
        </w:tc>
      </w:tr>
      <w:tr w14:paraId="761C6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4D99DC37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22A201CC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3C2BC474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智能回放校对</w:t>
            </w:r>
          </w:p>
        </w:tc>
      </w:tr>
      <w:tr w14:paraId="77F02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3B5CE93A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766C3441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301D87D1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内容编辑管理</w:t>
            </w:r>
          </w:p>
        </w:tc>
      </w:tr>
      <w:tr w14:paraId="729E6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540D5EE9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1FFEF679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13425408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闭环回写功能</w:t>
            </w:r>
          </w:p>
        </w:tc>
      </w:tr>
      <w:tr w14:paraId="79A0C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413ED077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21D03CF9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4CBFEAD5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数据关联</w:t>
            </w:r>
          </w:p>
        </w:tc>
      </w:tr>
      <w:tr w14:paraId="527CC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restart"/>
            <w:vAlign w:val="center"/>
          </w:tcPr>
          <w:p w14:paraId="2801C147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9</w:t>
            </w:r>
          </w:p>
        </w:tc>
        <w:tc>
          <w:tcPr>
            <w:tcW w:w="1173" w:type="pct"/>
            <w:vMerge w:val="restart"/>
            <w:vAlign w:val="center"/>
          </w:tcPr>
          <w:p w14:paraId="66607C0F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住院病历生成</w:t>
            </w:r>
          </w:p>
        </w:tc>
        <w:tc>
          <w:tcPr>
            <w:tcW w:w="3126" w:type="pct"/>
            <w:vAlign w:val="center"/>
          </w:tcPr>
          <w:p w14:paraId="1E843F4A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交互模式</w:t>
            </w:r>
          </w:p>
        </w:tc>
      </w:tr>
      <w:tr w14:paraId="6DFD8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18C4FE0A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58527C67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6F7B7327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智能语音录入</w:t>
            </w:r>
          </w:p>
        </w:tc>
      </w:tr>
      <w:tr w14:paraId="22F75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31994225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5F8B56BD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7F8B6D91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硬件设备适配</w:t>
            </w:r>
          </w:p>
        </w:tc>
      </w:tr>
      <w:tr w14:paraId="52509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06B2A0F8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0DD6084A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6708A937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结构化生成</w:t>
            </w:r>
          </w:p>
        </w:tc>
      </w:tr>
      <w:tr w14:paraId="39368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786C0C72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64265EA8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2F0A4CF1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AI 临床分析</w:t>
            </w:r>
          </w:p>
        </w:tc>
      </w:tr>
      <w:tr w14:paraId="0C451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7B0C742A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27D16ABE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27F8BBB0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录音回放校对</w:t>
            </w:r>
          </w:p>
        </w:tc>
      </w:tr>
      <w:tr w14:paraId="60098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52D2DC21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7E53C7C9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6F245623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内容编辑管理</w:t>
            </w:r>
          </w:p>
        </w:tc>
      </w:tr>
      <w:tr w14:paraId="6AB14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67AB0DE0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28402A23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409D3970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闭环回写功能</w:t>
            </w:r>
          </w:p>
        </w:tc>
      </w:tr>
      <w:tr w14:paraId="577D8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2D9AA8B2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214676C1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27468589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数据关联</w:t>
            </w:r>
          </w:p>
        </w:tc>
      </w:tr>
      <w:tr w14:paraId="2BD2D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06B67BD9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21B9DD0B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7261C516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患者管理</w:t>
            </w:r>
          </w:p>
        </w:tc>
      </w:tr>
      <w:tr w14:paraId="44DAF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701" w:type="pct"/>
            <w:vMerge w:val="continue"/>
            <w:vAlign w:val="center"/>
          </w:tcPr>
          <w:p w14:paraId="51CA8C5D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3" w:type="pct"/>
            <w:vMerge w:val="continue"/>
            <w:vAlign w:val="center"/>
          </w:tcPr>
          <w:p w14:paraId="6277ADA4">
            <w:pPr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26" w:type="pct"/>
            <w:vAlign w:val="center"/>
          </w:tcPr>
          <w:p w14:paraId="244D4EF6">
            <w:pPr>
              <w:widowControl/>
              <w:ind w:firstLine="42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病历管理</w:t>
            </w:r>
          </w:p>
        </w:tc>
      </w:tr>
    </w:tbl>
    <w:p w14:paraId="1C098E9E">
      <w:pPr>
        <w:pStyle w:val="2"/>
        <w:jc w:val="both"/>
        <w:rPr>
          <w:rFonts w:hint="eastAsia" w:ascii="宋体" w:hAnsi="宋体" w:eastAsia="宋体" w:cs="宋体"/>
          <w:sz w:val="28"/>
          <w:szCs w:val="28"/>
        </w:rPr>
      </w:pPr>
    </w:p>
    <w:p w14:paraId="626E905D">
      <w:pPr>
        <w:pStyle w:val="2"/>
        <w:rPr>
          <w:rFonts w:hint="eastAsia" w:ascii="宋体" w:hAnsi="宋体" w:eastAsia="宋体" w:cs="宋体"/>
          <w:sz w:val="28"/>
          <w:szCs w:val="28"/>
        </w:rPr>
      </w:pPr>
    </w:p>
    <w:p w14:paraId="3CE43127">
      <w:pPr>
        <w:pStyle w:val="16"/>
        <w:keepNext/>
        <w:keepLines/>
        <w:numPr>
          <w:ilvl w:val="0"/>
          <w:numId w:val="2"/>
        </w:numPr>
        <w:spacing w:after="330" w:line="360" w:lineRule="auto"/>
        <w:ind w:firstLineChars="0"/>
        <w:outlineLvl w:val="0"/>
        <w:rPr>
          <w:rFonts w:hint="eastAsia" w:ascii="宋体" w:hAnsi="宋体" w:eastAsia="宋体" w:cs="宋体"/>
          <w:b/>
          <w:bCs/>
          <w:color w:val="000000" w:themeColor="text1"/>
          <w:kern w:val="44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44"/>
          <w:sz w:val="28"/>
          <w:szCs w:val="28"/>
          <w14:textFill>
            <w14:solidFill>
              <w14:schemeClr w14:val="tx1"/>
            </w14:solidFill>
          </w14:textFill>
        </w:rPr>
        <w:t>其他要求：</w:t>
      </w:r>
    </w:p>
    <w:p w14:paraId="1037841E">
      <w:pPr>
        <w:numPr>
          <w:ilvl w:val="0"/>
          <w:numId w:val="3"/>
        </w:num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技术架构：满足应用技术架构要支持B/S架构部署，采用微服务松耦合的技术架构。基于先进的医疗专业开发平台开发定义业务应用，业务系统支持模块化设计与开发。</w:t>
      </w:r>
    </w:p>
    <w:p w14:paraId="36741669">
      <w:pPr>
        <w:numPr>
          <w:ilvl w:val="0"/>
          <w:numId w:val="3"/>
        </w:num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项目必须满足信创建设要求，承诺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bidi="ar"/>
          <w14:textFill>
            <w14:solidFill>
              <w14:schemeClr w14:val="tx1"/>
            </w14:solidFill>
          </w14:textFill>
        </w:rPr>
        <w:t>满足信创建设范围内的基础软件支持服务（如国产数据库、中间件）。</w:t>
      </w:r>
    </w:p>
    <w:p w14:paraId="70F2DF48">
      <w:pPr>
        <w:numPr>
          <w:ilvl w:val="0"/>
          <w:numId w:val="3"/>
        </w:num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bidi="ar"/>
          <w14:textFill>
            <w14:solidFill>
              <w14:schemeClr w14:val="tx1"/>
            </w14:solidFill>
          </w14:textFill>
        </w:rPr>
        <w:t>软件维保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bidi="ar"/>
          <w14:textFill>
            <w14:solidFill>
              <w14:schemeClr w14:val="tx1"/>
            </w14:solidFill>
          </w14:textFill>
        </w:rPr>
        <w:t>年。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软件维保费用不高于6%。</w:t>
      </w:r>
      <w:bookmarkStart w:id="0" w:name="_GoBack"/>
      <w:bookmarkEnd w:id="0"/>
    </w:p>
    <w:p w14:paraId="2F8551C2">
      <w:pPr>
        <w:pStyle w:val="2"/>
        <w:numPr>
          <w:numId w:val="0"/>
        </w:numPr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eastAsia="宋体"/>
          <w:lang w:val="en-US" w:eastAsia="zh-CN"/>
        </w:rPr>
        <w:t xml:space="preserve">  </w:t>
      </w:r>
    </w:p>
    <w:p w14:paraId="267ABEDA">
      <w:pPr>
        <w:pStyle w:val="16"/>
        <w:keepNext/>
        <w:keepLines/>
        <w:spacing w:after="330" w:line="360" w:lineRule="auto"/>
        <w:ind w:left="420" w:leftChars="200" w:firstLine="0" w:firstLineChars="0"/>
        <w:outlineLvl w:val="0"/>
        <w:rPr>
          <w:rFonts w:hint="eastAsia" w:ascii="宋体" w:hAnsi="宋体" w:eastAsia="宋体" w:cs="宋体"/>
          <w:b/>
          <w:bCs/>
          <w:color w:val="000000" w:themeColor="text1"/>
          <w:kern w:val="44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099C5B"/>
    <w:multiLevelType w:val="multilevel"/>
    <w:tmpl w:val="FB099C5B"/>
    <w:lvl w:ilvl="0" w:tentative="0">
      <w:start w:val="1"/>
      <w:numFmt w:val="decimal"/>
      <w:lvlText w:val="%1"/>
      <w:lvlJc w:val="left"/>
      <w:pPr>
        <w:ind w:left="432" w:hanging="432"/>
      </w:pPr>
    </w:lvl>
    <w:lvl w:ilvl="1" w:tentative="0">
      <w:start w:val="1"/>
      <w:numFmt w:val="decimal"/>
      <w:lvlText w:val="%1.%2"/>
      <w:lvlJc w:val="left"/>
      <w:pPr>
        <w:ind w:left="576" w:hanging="576"/>
      </w:pPr>
    </w:lvl>
    <w:lvl w:ilvl="2" w:tentative="0">
      <w:start w:val="1"/>
      <w:numFmt w:val="decimal"/>
      <w:pStyle w:val="5"/>
      <w:lvlText w:val="%1.%2.%3"/>
      <w:lvlJc w:val="left"/>
      <w:pPr>
        <w:ind w:left="720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FBA8879D"/>
    <w:multiLevelType w:val="singleLevel"/>
    <w:tmpl w:val="FBA8879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A321C4F"/>
    <w:multiLevelType w:val="multilevel"/>
    <w:tmpl w:val="1A321C4F"/>
    <w:lvl w:ilvl="0" w:tentative="0">
      <w:start w:val="1"/>
      <w:numFmt w:val="japaneseCounting"/>
      <w:lvlText w:val="%1．"/>
      <w:lvlJc w:val="left"/>
      <w:pPr>
        <w:ind w:left="880" w:hanging="880"/>
      </w:pPr>
      <w:rPr>
        <w:rFonts w:hint="default"/>
      </w:rPr>
    </w:lvl>
    <w:lvl w:ilvl="1" w:tentative="0">
      <w:start w:val="3"/>
      <w:numFmt w:val="japaneseCounting"/>
      <w:lvlText w:val="%2、"/>
      <w:lvlJc w:val="left"/>
      <w:pPr>
        <w:ind w:left="1300" w:hanging="88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RjNzA4YzBhZDBhMjU3YjdhNTJjOWQ4OWM2YWJiOWEifQ=="/>
  </w:docVars>
  <w:rsids>
    <w:rsidRoot w:val="00AD1B02"/>
    <w:rsid w:val="0000296D"/>
    <w:rsid w:val="000542EB"/>
    <w:rsid w:val="00060BBF"/>
    <w:rsid w:val="00071371"/>
    <w:rsid w:val="00071CE5"/>
    <w:rsid w:val="000B1068"/>
    <w:rsid w:val="000C384E"/>
    <w:rsid w:val="000D6AD1"/>
    <w:rsid w:val="00120ABD"/>
    <w:rsid w:val="00126730"/>
    <w:rsid w:val="00172D34"/>
    <w:rsid w:val="00186514"/>
    <w:rsid w:val="0018666C"/>
    <w:rsid w:val="0019091E"/>
    <w:rsid w:val="00196737"/>
    <w:rsid w:val="001A38C1"/>
    <w:rsid w:val="001A427F"/>
    <w:rsid w:val="001B4804"/>
    <w:rsid w:val="001B72F4"/>
    <w:rsid w:val="001C5A53"/>
    <w:rsid w:val="001D2578"/>
    <w:rsid w:val="001D73A8"/>
    <w:rsid w:val="001E1549"/>
    <w:rsid w:val="001E5B3D"/>
    <w:rsid w:val="001E691D"/>
    <w:rsid w:val="001F0EE4"/>
    <w:rsid w:val="00207D6D"/>
    <w:rsid w:val="002141D6"/>
    <w:rsid w:val="00233966"/>
    <w:rsid w:val="00234FB0"/>
    <w:rsid w:val="002475AE"/>
    <w:rsid w:val="0027017A"/>
    <w:rsid w:val="002714E2"/>
    <w:rsid w:val="002927E9"/>
    <w:rsid w:val="0029789B"/>
    <w:rsid w:val="002A4F75"/>
    <w:rsid w:val="002C1ABA"/>
    <w:rsid w:val="002D1681"/>
    <w:rsid w:val="002D5734"/>
    <w:rsid w:val="002E0B19"/>
    <w:rsid w:val="002E4E91"/>
    <w:rsid w:val="002F6A6C"/>
    <w:rsid w:val="003037CA"/>
    <w:rsid w:val="003217E9"/>
    <w:rsid w:val="00337E5B"/>
    <w:rsid w:val="003B749A"/>
    <w:rsid w:val="003D4A23"/>
    <w:rsid w:val="003F5B91"/>
    <w:rsid w:val="003F625D"/>
    <w:rsid w:val="00417C1B"/>
    <w:rsid w:val="0042134E"/>
    <w:rsid w:val="0042642F"/>
    <w:rsid w:val="00440B11"/>
    <w:rsid w:val="00456462"/>
    <w:rsid w:val="00475855"/>
    <w:rsid w:val="00482920"/>
    <w:rsid w:val="004A7A07"/>
    <w:rsid w:val="004C3114"/>
    <w:rsid w:val="004C43EB"/>
    <w:rsid w:val="004D6711"/>
    <w:rsid w:val="004F2DA2"/>
    <w:rsid w:val="00527E22"/>
    <w:rsid w:val="00532BE4"/>
    <w:rsid w:val="00541A92"/>
    <w:rsid w:val="005501A9"/>
    <w:rsid w:val="00553921"/>
    <w:rsid w:val="00566DD4"/>
    <w:rsid w:val="00567E89"/>
    <w:rsid w:val="005C3D46"/>
    <w:rsid w:val="005C6E59"/>
    <w:rsid w:val="005F6135"/>
    <w:rsid w:val="00602199"/>
    <w:rsid w:val="00614022"/>
    <w:rsid w:val="006260B4"/>
    <w:rsid w:val="006424EE"/>
    <w:rsid w:val="00657610"/>
    <w:rsid w:val="00661381"/>
    <w:rsid w:val="006675F9"/>
    <w:rsid w:val="00672CF0"/>
    <w:rsid w:val="006A55A3"/>
    <w:rsid w:val="006B28B6"/>
    <w:rsid w:val="006B3C64"/>
    <w:rsid w:val="006B4FF3"/>
    <w:rsid w:val="006B6128"/>
    <w:rsid w:val="006C3461"/>
    <w:rsid w:val="006C4CF8"/>
    <w:rsid w:val="006D540E"/>
    <w:rsid w:val="006D5A50"/>
    <w:rsid w:val="006E18EB"/>
    <w:rsid w:val="00703706"/>
    <w:rsid w:val="00705E69"/>
    <w:rsid w:val="00722DE9"/>
    <w:rsid w:val="00734701"/>
    <w:rsid w:val="007447D4"/>
    <w:rsid w:val="0076557C"/>
    <w:rsid w:val="00781754"/>
    <w:rsid w:val="00782D80"/>
    <w:rsid w:val="007A15AD"/>
    <w:rsid w:val="007A672E"/>
    <w:rsid w:val="007B22B9"/>
    <w:rsid w:val="007D0C35"/>
    <w:rsid w:val="007E0B06"/>
    <w:rsid w:val="007E14C0"/>
    <w:rsid w:val="007E1F6D"/>
    <w:rsid w:val="007E501A"/>
    <w:rsid w:val="0080041D"/>
    <w:rsid w:val="00810F89"/>
    <w:rsid w:val="0081600C"/>
    <w:rsid w:val="0082110D"/>
    <w:rsid w:val="008240C9"/>
    <w:rsid w:val="00826A44"/>
    <w:rsid w:val="0083139D"/>
    <w:rsid w:val="00835711"/>
    <w:rsid w:val="00837266"/>
    <w:rsid w:val="008435EB"/>
    <w:rsid w:val="0085759A"/>
    <w:rsid w:val="00871335"/>
    <w:rsid w:val="00896FEC"/>
    <w:rsid w:val="008A1E59"/>
    <w:rsid w:val="008D2073"/>
    <w:rsid w:val="008D6DEE"/>
    <w:rsid w:val="00911D44"/>
    <w:rsid w:val="00923382"/>
    <w:rsid w:val="009473D8"/>
    <w:rsid w:val="0097284E"/>
    <w:rsid w:val="00975FB2"/>
    <w:rsid w:val="00983422"/>
    <w:rsid w:val="009B6D4B"/>
    <w:rsid w:val="009D03AC"/>
    <w:rsid w:val="009E6660"/>
    <w:rsid w:val="00A075DB"/>
    <w:rsid w:val="00A81031"/>
    <w:rsid w:val="00A91723"/>
    <w:rsid w:val="00A94F5D"/>
    <w:rsid w:val="00A9613C"/>
    <w:rsid w:val="00AB534D"/>
    <w:rsid w:val="00AB58D9"/>
    <w:rsid w:val="00AC4004"/>
    <w:rsid w:val="00AD1B02"/>
    <w:rsid w:val="00AE1EAD"/>
    <w:rsid w:val="00B500AA"/>
    <w:rsid w:val="00B61774"/>
    <w:rsid w:val="00B63D93"/>
    <w:rsid w:val="00B67A24"/>
    <w:rsid w:val="00BB29A1"/>
    <w:rsid w:val="00BE367C"/>
    <w:rsid w:val="00C051F4"/>
    <w:rsid w:val="00C40731"/>
    <w:rsid w:val="00C45892"/>
    <w:rsid w:val="00C60C9B"/>
    <w:rsid w:val="00C64A96"/>
    <w:rsid w:val="00C95364"/>
    <w:rsid w:val="00C97B7D"/>
    <w:rsid w:val="00CA2622"/>
    <w:rsid w:val="00CB797D"/>
    <w:rsid w:val="00CC1589"/>
    <w:rsid w:val="00CC3868"/>
    <w:rsid w:val="00CE3551"/>
    <w:rsid w:val="00D01A4C"/>
    <w:rsid w:val="00D13355"/>
    <w:rsid w:val="00D15BBA"/>
    <w:rsid w:val="00D350B3"/>
    <w:rsid w:val="00D45844"/>
    <w:rsid w:val="00D50262"/>
    <w:rsid w:val="00D803F9"/>
    <w:rsid w:val="00DA419A"/>
    <w:rsid w:val="00DE604D"/>
    <w:rsid w:val="00DF30B4"/>
    <w:rsid w:val="00DF4886"/>
    <w:rsid w:val="00E0302C"/>
    <w:rsid w:val="00E139D2"/>
    <w:rsid w:val="00E16662"/>
    <w:rsid w:val="00E258F0"/>
    <w:rsid w:val="00E259C9"/>
    <w:rsid w:val="00E32BC1"/>
    <w:rsid w:val="00E6581A"/>
    <w:rsid w:val="00E662D0"/>
    <w:rsid w:val="00E869A2"/>
    <w:rsid w:val="00EA522E"/>
    <w:rsid w:val="00EB7E81"/>
    <w:rsid w:val="00ED4445"/>
    <w:rsid w:val="00EF0BB3"/>
    <w:rsid w:val="00F00FA1"/>
    <w:rsid w:val="00F013EA"/>
    <w:rsid w:val="00F066F9"/>
    <w:rsid w:val="00F1414D"/>
    <w:rsid w:val="00F15A09"/>
    <w:rsid w:val="00F21D18"/>
    <w:rsid w:val="00F37668"/>
    <w:rsid w:val="00F419C6"/>
    <w:rsid w:val="00F60D79"/>
    <w:rsid w:val="00FB4A23"/>
    <w:rsid w:val="00FC17BE"/>
    <w:rsid w:val="00FD37A1"/>
    <w:rsid w:val="00FE40A3"/>
    <w:rsid w:val="00FF002A"/>
    <w:rsid w:val="022E09CD"/>
    <w:rsid w:val="080A44DE"/>
    <w:rsid w:val="0876269E"/>
    <w:rsid w:val="0EF947F5"/>
    <w:rsid w:val="0F613E1D"/>
    <w:rsid w:val="13D90871"/>
    <w:rsid w:val="157B343D"/>
    <w:rsid w:val="18FC75CC"/>
    <w:rsid w:val="1A222683"/>
    <w:rsid w:val="1DAA570D"/>
    <w:rsid w:val="1E5B0B19"/>
    <w:rsid w:val="21CD6C1E"/>
    <w:rsid w:val="22C15515"/>
    <w:rsid w:val="263C0783"/>
    <w:rsid w:val="26D81574"/>
    <w:rsid w:val="2AA07683"/>
    <w:rsid w:val="2DA1120E"/>
    <w:rsid w:val="2F3A425D"/>
    <w:rsid w:val="30E86F86"/>
    <w:rsid w:val="39786545"/>
    <w:rsid w:val="39D57AE5"/>
    <w:rsid w:val="3A334C73"/>
    <w:rsid w:val="3A4C0F92"/>
    <w:rsid w:val="3B6844E0"/>
    <w:rsid w:val="3F7A7887"/>
    <w:rsid w:val="4319791D"/>
    <w:rsid w:val="498C6CBB"/>
    <w:rsid w:val="4A774851"/>
    <w:rsid w:val="4AF13892"/>
    <w:rsid w:val="4C0B1C16"/>
    <w:rsid w:val="51895F94"/>
    <w:rsid w:val="56704960"/>
    <w:rsid w:val="56BC4E02"/>
    <w:rsid w:val="5A3F2BF4"/>
    <w:rsid w:val="5C01764E"/>
    <w:rsid w:val="5E272270"/>
    <w:rsid w:val="61551D35"/>
    <w:rsid w:val="62DF4C94"/>
    <w:rsid w:val="63510B3C"/>
    <w:rsid w:val="66B56DF7"/>
    <w:rsid w:val="672600BB"/>
    <w:rsid w:val="69B67D29"/>
    <w:rsid w:val="6B6969E0"/>
    <w:rsid w:val="6BAF170A"/>
    <w:rsid w:val="6BBE355F"/>
    <w:rsid w:val="6DDF2C7F"/>
    <w:rsid w:val="70952EAF"/>
    <w:rsid w:val="7343600F"/>
    <w:rsid w:val="73F82FD0"/>
    <w:rsid w:val="77157C41"/>
    <w:rsid w:val="77C167FA"/>
    <w:rsid w:val="7A1C2C9F"/>
    <w:rsid w:val="7F5E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3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2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17"/>
    <w:autoRedefine/>
    <w:semiHidden/>
    <w:unhideWhenUsed/>
    <w:qFormat/>
    <w:uiPriority w:val="9"/>
    <w:pPr>
      <w:keepNext/>
      <w:keepLines/>
      <w:numPr>
        <w:ilvl w:val="2"/>
        <w:numId w:val="1"/>
      </w:numPr>
      <w:spacing w:before="260" w:after="260" w:line="415" w:lineRule="auto"/>
      <w:outlineLvl w:val="2"/>
    </w:pPr>
    <w:rPr>
      <w:rFonts w:ascii="Calibri" w:hAnsi="Calibri" w:eastAsia="宋体" w:cs="Times New Roman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semiHidden/>
    <w:unhideWhenUsed/>
    <w:qFormat/>
    <w:uiPriority w:val="99"/>
  </w:style>
  <w:style w:type="character" w:customStyle="1" w:styleId="12">
    <w:name w:val="标题 2 字符"/>
    <w:basedOn w:val="10"/>
    <w:link w:val="4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3">
    <w:name w:val="标题 1 字符"/>
    <w:basedOn w:val="10"/>
    <w:link w:val="3"/>
    <w:autoRedefine/>
    <w:qFormat/>
    <w:uiPriority w:val="9"/>
    <w:rPr>
      <w:b/>
      <w:bCs/>
      <w:kern w:val="44"/>
      <w:sz w:val="44"/>
      <w:szCs w:val="44"/>
    </w:rPr>
  </w:style>
  <w:style w:type="character" w:customStyle="1" w:styleId="14">
    <w:name w:val="页眉 字符"/>
    <w:basedOn w:val="10"/>
    <w:link w:val="7"/>
    <w:autoRedefine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6"/>
    <w:autoRedefine/>
    <w:qFormat/>
    <w:uiPriority w:val="99"/>
    <w:rPr>
      <w:sz w:val="18"/>
      <w:szCs w:val="18"/>
    </w:rPr>
  </w:style>
  <w:style w:type="paragraph" w:styleId="1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7">
    <w:name w:val="标题 3 字符"/>
    <w:basedOn w:val="10"/>
    <w:link w:val="5"/>
    <w:autoRedefine/>
    <w:qFormat/>
    <w:uiPriority w:val="0"/>
    <w:rPr>
      <w:b/>
      <w:bCs/>
      <w:kern w:val="2"/>
      <w:sz w:val="32"/>
      <w:szCs w:val="32"/>
    </w:rPr>
  </w:style>
  <w:style w:type="paragraph" w:customStyle="1" w:styleId="18">
    <w:name w:val="M正文"/>
    <w:basedOn w:val="1"/>
    <w:qFormat/>
    <w:uiPriority w:val="0"/>
    <w:pPr>
      <w:spacing w:line="360" w:lineRule="auto"/>
      <w:ind w:firstLine="480" w:firstLineChars="200"/>
    </w:pPr>
    <w:rPr>
      <w:rFonts w:ascii="Calibri" w:hAnsi="Calibri" w:eastAsia="宋体" w:cs="Times New Roman"/>
      <w:sz w:val="24"/>
      <w:szCs w:val="24"/>
    </w:rPr>
  </w:style>
  <w:style w:type="character" w:customStyle="1" w:styleId="19">
    <w:name w:val="font21"/>
    <w:basedOn w:val="10"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character" w:customStyle="1" w:styleId="20">
    <w:name w:val="font11"/>
    <w:basedOn w:val="10"/>
    <w:uiPriority w:val="0"/>
    <w:rPr>
      <w:rFonts w:hint="eastAsia" w:ascii="仿宋" w:hAnsi="仿宋" w:eastAsia="仿宋" w:cs="仿宋"/>
      <w:b/>
      <w:bCs/>
      <w:color w:val="000000"/>
      <w:sz w:val="21"/>
      <w:szCs w:val="21"/>
      <w:u w:val="none"/>
    </w:rPr>
  </w:style>
  <w:style w:type="character" w:customStyle="1" w:styleId="21">
    <w:name w:val="font41"/>
    <w:basedOn w:val="10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character" w:customStyle="1" w:styleId="22">
    <w:name w:val="font31"/>
    <w:basedOn w:val="10"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taSourceCollection xmlns="http://www.yonyou.com/datasource"/>
</file>

<file path=customXml/item2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C4CCD3A0-E39C-4640-BD02-D93085E76C42}">
  <ds:schemaRefs/>
</ds:datastoreItem>
</file>

<file path=customXml/itemProps2.xml><?xml version="1.0" encoding="utf-8"?>
<ds:datastoreItem xmlns:ds="http://schemas.openxmlformats.org/officeDocument/2006/customXml" ds:itemID="{BA30CD07-FB94-413E-B075-C740B0326B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544</Words>
  <Characters>549</Characters>
  <Lines>5</Lines>
  <Paragraphs>1</Paragraphs>
  <TotalTime>10</TotalTime>
  <ScaleCrop>false</ScaleCrop>
  <LinksUpToDate>false</LinksUpToDate>
  <CharactersWithSpaces>550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2026-07-23T02:10:00Z</dcterms:created>
  <dc:creator>MDSDSIAHUI</dc:creator>
  <cp:lastModifiedBy>刘永琴</cp:lastModifiedBy>
  <dcterms:modified xsi:type="dcterms:W3CDTF">2026-07-27T07:25:14Z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624DE1B806064381AC6A969DF92515A6_13</vt:lpwstr>
  </property>
  <property fmtid="{D5CDD505-2E9C-101B-9397-08002B2CF9AE}" pid="4" name="commondata">
    <vt:lpwstr>eyJoZGlkIjoiOWUwYTgwNjE5NjZhMDFjZDc2MzFjNjI0ZGIyMWJiNzgifQ==</vt:lpwstr>
  </property>
  <property fmtid="{D5CDD505-2E9C-101B-9397-08002B2CF9AE}" pid="5" name="KSOTemplateDocerSaveRecord">
    <vt:lpwstr>eyJoZGlkIjoiZmMyMGM3MjRhNmZlNDkxZWY3OTVjOWI5Zjg4MzVhZGMiLCJ1c2VySWQiOiI1NDcxMDkxNzMifQ==</vt:lpwstr>
  </property>
</Properties>
</file>